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46" w:rsidRDefault="00DF70CF" w:rsidP="00343146">
      <w:pPr>
        <w:pStyle w:val="Heading1"/>
        <w:spacing w:before="0"/>
      </w:pPr>
      <w:bookmarkStart w:id="0" w:name="_GoBack"/>
      <w:bookmarkEnd w:id="0"/>
      <w:r>
        <w:rPr>
          <w:lang w:val="en-US"/>
        </w:rPr>
        <w:t xml:space="preserve">Global Invoice V2 concerning Tax </w:t>
      </w:r>
      <w:r>
        <w:t>Exemption Reason Codes</w:t>
      </w:r>
    </w:p>
    <w:p w:rsidR="00DF70CF" w:rsidRDefault="00343146" w:rsidP="00343146">
      <w:pPr>
        <w:rPr>
          <w:b w:val="0"/>
        </w:rPr>
      </w:pPr>
      <w:r w:rsidRPr="00343146">
        <w:rPr>
          <w:b w:val="0"/>
        </w:rPr>
        <w:t xml:space="preserve">(Based on </w:t>
      </w:r>
      <w:r>
        <w:rPr>
          <w:b w:val="0"/>
        </w:rPr>
        <w:t xml:space="preserve">a </w:t>
      </w:r>
      <w:r w:rsidR="002D4EF1">
        <w:rPr>
          <w:b w:val="0"/>
        </w:rPr>
        <w:t>guideline published 2010</w:t>
      </w:r>
      <w:r w:rsidRPr="00343146">
        <w:rPr>
          <w:b w:val="0"/>
        </w:rPr>
        <w:t xml:space="preserve"> on the Swedish Odette </w:t>
      </w:r>
      <w:r>
        <w:rPr>
          <w:b w:val="0"/>
        </w:rPr>
        <w:t xml:space="preserve">web </w:t>
      </w:r>
      <w:r w:rsidRPr="00343146">
        <w:rPr>
          <w:b w:val="0"/>
        </w:rPr>
        <w:t>site www.odette.se)</w:t>
      </w:r>
      <w:r w:rsidR="00DF70CF" w:rsidRPr="00343146">
        <w:rPr>
          <w:b w:val="0"/>
        </w:rPr>
        <w:t xml:space="preserve"> </w:t>
      </w:r>
    </w:p>
    <w:p w:rsidR="00A8605B" w:rsidRPr="00343146" w:rsidRDefault="00A8605B" w:rsidP="00343146">
      <w:pPr>
        <w:rPr>
          <w:b w:val="0"/>
        </w:rPr>
      </w:pPr>
    </w:p>
    <w:p w:rsidR="00DF70CF" w:rsidRDefault="00DF70CF" w:rsidP="00DF70CF"/>
    <w:tbl>
      <w:tblPr>
        <w:tblW w:w="13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14"/>
        <w:gridCol w:w="3420"/>
        <w:gridCol w:w="7200"/>
      </w:tblGrid>
      <w:tr w:rsidR="009B3171" w:rsidRPr="009B3171">
        <w:tblPrEx>
          <w:tblCellMar>
            <w:top w:w="0" w:type="dxa"/>
            <w:bottom w:w="0" w:type="dxa"/>
          </w:tblCellMar>
        </w:tblPrEx>
        <w:trPr>
          <w:tblHeader/>
        </w:trPr>
        <w:tc>
          <w:tcPr>
            <w:tcW w:w="720" w:type="dxa"/>
            <w:shd w:val="pct10" w:color="auto" w:fill="auto"/>
          </w:tcPr>
          <w:p w:rsidR="009B3171" w:rsidRPr="00343146" w:rsidRDefault="009B3171" w:rsidP="00836FE3">
            <w:pPr>
              <w:rPr>
                <w:b w:val="0"/>
                <w:i/>
                <w:sz w:val="18"/>
                <w:szCs w:val="18"/>
              </w:rPr>
            </w:pPr>
            <w:r w:rsidRPr="00343146">
              <w:rPr>
                <w:b w:val="0"/>
                <w:i/>
                <w:sz w:val="18"/>
                <w:szCs w:val="18"/>
              </w:rPr>
              <w:t>Code</w:t>
            </w:r>
          </w:p>
        </w:tc>
        <w:tc>
          <w:tcPr>
            <w:tcW w:w="2414" w:type="dxa"/>
            <w:shd w:val="pct10" w:color="auto" w:fill="auto"/>
          </w:tcPr>
          <w:p w:rsidR="009B3171" w:rsidRPr="00343146" w:rsidRDefault="009B3171" w:rsidP="00836FE3">
            <w:pPr>
              <w:rPr>
                <w:b w:val="0"/>
                <w:i/>
                <w:sz w:val="18"/>
                <w:szCs w:val="18"/>
              </w:rPr>
            </w:pPr>
            <w:r w:rsidRPr="00343146">
              <w:rPr>
                <w:b w:val="0"/>
                <w:i/>
                <w:sz w:val="18"/>
                <w:szCs w:val="18"/>
              </w:rPr>
              <w:t>Description</w:t>
            </w:r>
          </w:p>
        </w:tc>
        <w:tc>
          <w:tcPr>
            <w:tcW w:w="3420" w:type="dxa"/>
            <w:shd w:val="pct10" w:color="auto" w:fill="auto"/>
          </w:tcPr>
          <w:p w:rsidR="009B3171" w:rsidRPr="00343146" w:rsidRDefault="009B3171" w:rsidP="00DF70CF">
            <w:pPr>
              <w:rPr>
                <w:b w:val="0"/>
                <w:bCs/>
                <w:i/>
                <w:sz w:val="18"/>
                <w:szCs w:val="18"/>
              </w:rPr>
            </w:pPr>
            <w:r w:rsidRPr="00343146">
              <w:rPr>
                <w:b w:val="0"/>
                <w:bCs/>
                <w:i/>
                <w:sz w:val="18"/>
                <w:szCs w:val="18"/>
              </w:rPr>
              <w:t>Explanation</w:t>
            </w:r>
          </w:p>
        </w:tc>
        <w:tc>
          <w:tcPr>
            <w:tcW w:w="7200" w:type="dxa"/>
            <w:shd w:val="pct10" w:color="auto" w:fill="auto"/>
          </w:tcPr>
          <w:p w:rsidR="009B3171" w:rsidRPr="00343146" w:rsidRDefault="009B3171" w:rsidP="00DF70CF">
            <w:pPr>
              <w:rPr>
                <w:b w:val="0"/>
                <w:bCs/>
                <w:i/>
                <w:sz w:val="18"/>
                <w:szCs w:val="18"/>
              </w:rPr>
            </w:pPr>
            <w:r w:rsidRPr="00343146">
              <w:rPr>
                <w:b w:val="0"/>
                <w:bCs/>
                <w:i/>
                <w:sz w:val="18"/>
                <w:szCs w:val="18"/>
              </w:rPr>
              <w:t xml:space="preserve">Application </w:t>
            </w:r>
            <w:r w:rsidR="00CB395E" w:rsidRPr="00343146">
              <w:rPr>
                <w:b w:val="0"/>
                <w:bCs/>
                <w:i/>
                <w:sz w:val="18"/>
                <w:szCs w:val="18"/>
              </w:rPr>
              <w:t>guideline</w:t>
            </w:r>
          </w:p>
        </w:tc>
      </w:tr>
      <w:tr w:rsidR="00AA09F4">
        <w:tblPrEx>
          <w:tblCellMar>
            <w:top w:w="0" w:type="dxa"/>
            <w:bottom w:w="0" w:type="dxa"/>
          </w:tblCellMar>
        </w:tblPrEx>
        <w:tc>
          <w:tcPr>
            <w:tcW w:w="720" w:type="dxa"/>
          </w:tcPr>
          <w:p w:rsidR="00AA09F4" w:rsidRDefault="00AA09F4" w:rsidP="00836FE3">
            <w:pPr>
              <w:rPr>
                <w:sz w:val="18"/>
                <w:szCs w:val="18"/>
              </w:rPr>
            </w:pPr>
            <w:r>
              <w:rPr>
                <w:sz w:val="18"/>
                <w:szCs w:val="18"/>
              </w:rPr>
              <w:t>E</w:t>
            </w:r>
          </w:p>
        </w:tc>
        <w:tc>
          <w:tcPr>
            <w:tcW w:w="2414" w:type="dxa"/>
          </w:tcPr>
          <w:p w:rsidR="00AA09F4" w:rsidRPr="00AA09F4" w:rsidRDefault="00AA09F4" w:rsidP="00836FE3">
            <w:pPr>
              <w:rPr>
                <w:bCs/>
                <w:color w:val="000000"/>
                <w:sz w:val="18"/>
                <w:szCs w:val="18"/>
              </w:rPr>
            </w:pPr>
            <w:r w:rsidRPr="00AA09F4">
              <w:rPr>
                <w:bCs/>
                <w:color w:val="000000"/>
                <w:sz w:val="18"/>
                <w:szCs w:val="18"/>
              </w:rPr>
              <w:t>Exempt from tax</w:t>
            </w:r>
          </w:p>
        </w:tc>
        <w:tc>
          <w:tcPr>
            <w:tcW w:w="3420" w:type="dxa"/>
          </w:tcPr>
          <w:p w:rsidR="00AA09F4" w:rsidRPr="00343146" w:rsidRDefault="00AA09F4" w:rsidP="00507FA5">
            <w:pPr>
              <w:rPr>
                <w:sz w:val="18"/>
                <w:szCs w:val="18"/>
              </w:rPr>
            </w:pPr>
            <w:r w:rsidRPr="00343146">
              <w:rPr>
                <w:b w:val="0"/>
                <w:bCs/>
                <w:sz w:val="18"/>
                <w:szCs w:val="18"/>
              </w:rPr>
              <w:t xml:space="preserve">Exempt </w:t>
            </w:r>
            <w:r w:rsidR="00C17456">
              <w:rPr>
                <w:b w:val="0"/>
                <w:bCs/>
                <w:sz w:val="18"/>
                <w:szCs w:val="18"/>
              </w:rPr>
              <w:t>export of</w:t>
            </w:r>
            <w:r w:rsidRPr="00343146">
              <w:rPr>
                <w:b w:val="0"/>
                <w:bCs/>
                <w:sz w:val="18"/>
                <w:szCs w:val="18"/>
              </w:rPr>
              <w:t xml:space="preserve"> goods</w:t>
            </w:r>
          </w:p>
        </w:tc>
        <w:tc>
          <w:tcPr>
            <w:tcW w:w="7200" w:type="dxa"/>
          </w:tcPr>
          <w:p w:rsidR="00AA09F4" w:rsidRPr="00343146" w:rsidRDefault="00AA09F4" w:rsidP="00507FA5">
            <w:pPr>
              <w:rPr>
                <w:b w:val="0"/>
                <w:bCs/>
                <w:sz w:val="18"/>
                <w:szCs w:val="18"/>
              </w:rPr>
            </w:pPr>
            <w:r w:rsidRPr="00343146">
              <w:rPr>
                <w:sz w:val="18"/>
                <w:szCs w:val="18"/>
              </w:rPr>
              <w:t xml:space="preserve">To be used </w:t>
            </w:r>
            <w:r w:rsidRPr="00343146">
              <w:rPr>
                <w:b w:val="0"/>
                <w:bCs/>
                <w:sz w:val="18"/>
                <w:szCs w:val="18"/>
              </w:rPr>
              <w:t xml:space="preserve">when invoicing goods which are </w:t>
            </w:r>
            <w:r w:rsidR="00C17456">
              <w:rPr>
                <w:b w:val="0"/>
                <w:bCs/>
                <w:sz w:val="18"/>
                <w:szCs w:val="18"/>
              </w:rPr>
              <w:t>exported</w:t>
            </w:r>
            <w:r w:rsidRPr="00343146">
              <w:rPr>
                <w:b w:val="0"/>
                <w:bCs/>
                <w:sz w:val="18"/>
                <w:szCs w:val="18"/>
              </w:rPr>
              <w:t xml:space="preserve"> from </w:t>
            </w:r>
            <w:r>
              <w:rPr>
                <w:b w:val="0"/>
                <w:bCs/>
                <w:sz w:val="18"/>
                <w:szCs w:val="18"/>
              </w:rPr>
              <w:t xml:space="preserve">a country outside </w:t>
            </w:r>
            <w:r w:rsidRPr="00343146">
              <w:rPr>
                <w:b w:val="0"/>
                <w:bCs/>
                <w:sz w:val="18"/>
                <w:szCs w:val="18"/>
              </w:rPr>
              <w:t xml:space="preserve">EC </w:t>
            </w:r>
            <w:r>
              <w:rPr>
                <w:b w:val="0"/>
                <w:bCs/>
                <w:sz w:val="18"/>
                <w:szCs w:val="18"/>
              </w:rPr>
              <w:t xml:space="preserve">to a </w:t>
            </w:r>
            <w:r w:rsidRPr="00343146">
              <w:rPr>
                <w:b w:val="0"/>
                <w:bCs/>
                <w:sz w:val="18"/>
                <w:szCs w:val="18"/>
              </w:rPr>
              <w:t xml:space="preserve">country </w:t>
            </w:r>
            <w:r>
              <w:rPr>
                <w:b w:val="0"/>
                <w:bCs/>
                <w:sz w:val="18"/>
                <w:szCs w:val="18"/>
              </w:rPr>
              <w:t>within EC</w:t>
            </w:r>
            <w:r w:rsidR="00C36956">
              <w:rPr>
                <w:b w:val="0"/>
                <w:bCs/>
                <w:sz w:val="18"/>
                <w:szCs w:val="18"/>
              </w:rPr>
              <w:t>.</w:t>
            </w:r>
          </w:p>
        </w:tc>
      </w:tr>
      <w:tr w:rsidR="00AA09F4">
        <w:tblPrEx>
          <w:tblCellMar>
            <w:top w:w="0" w:type="dxa"/>
            <w:bottom w:w="0" w:type="dxa"/>
          </w:tblCellMar>
        </w:tblPrEx>
        <w:tc>
          <w:tcPr>
            <w:tcW w:w="720" w:type="dxa"/>
          </w:tcPr>
          <w:p w:rsidR="00AA09F4" w:rsidRPr="00343146" w:rsidRDefault="00AA09F4" w:rsidP="00836FE3">
            <w:pPr>
              <w:rPr>
                <w:sz w:val="18"/>
                <w:szCs w:val="18"/>
              </w:rPr>
            </w:pPr>
            <w:r>
              <w:rPr>
                <w:sz w:val="18"/>
                <w:szCs w:val="18"/>
              </w:rPr>
              <w:t>S</w:t>
            </w:r>
          </w:p>
        </w:tc>
        <w:tc>
          <w:tcPr>
            <w:tcW w:w="2414" w:type="dxa"/>
          </w:tcPr>
          <w:p w:rsidR="00AA09F4" w:rsidRPr="00CE0598" w:rsidRDefault="00AA09F4" w:rsidP="00836FE3">
            <w:pPr>
              <w:rPr>
                <w:sz w:val="18"/>
                <w:szCs w:val="18"/>
              </w:rPr>
            </w:pPr>
            <w:r w:rsidRPr="00CE0598">
              <w:rPr>
                <w:bCs/>
                <w:color w:val="000000"/>
                <w:sz w:val="18"/>
                <w:szCs w:val="18"/>
              </w:rPr>
              <w:t>Standard rate</w:t>
            </w:r>
          </w:p>
        </w:tc>
        <w:tc>
          <w:tcPr>
            <w:tcW w:w="3420" w:type="dxa"/>
          </w:tcPr>
          <w:p w:rsidR="00AA09F4" w:rsidRPr="00343146" w:rsidRDefault="00AA09F4" w:rsidP="00DF70CF">
            <w:pPr>
              <w:rPr>
                <w:b w:val="0"/>
                <w:bCs/>
                <w:sz w:val="18"/>
                <w:szCs w:val="18"/>
              </w:rPr>
            </w:pPr>
            <w:r>
              <w:rPr>
                <w:b w:val="0"/>
                <w:bCs/>
                <w:sz w:val="18"/>
                <w:szCs w:val="18"/>
              </w:rPr>
              <w:t xml:space="preserve">Standard rate </w:t>
            </w:r>
            <w:r w:rsidR="00296DDB">
              <w:rPr>
                <w:b w:val="0"/>
                <w:bCs/>
                <w:sz w:val="18"/>
                <w:szCs w:val="18"/>
              </w:rPr>
              <w:t>appli</w:t>
            </w:r>
            <w:r w:rsidR="00C17456">
              <w:rPr>
                <w:b w:val="0"/>
                <w:bCs/>
                <w:sz w:val="18"/>
                <w:szCs w:val="18"/>
              </w:rPr>
              <w:t>cable</w:t>
            </w:r>
            <w:r>
              <w:rPr>
                <w:b w:val="0"/>
                <w:bCs/>
                <w:sz w:val="18"/>
                <w:szCs w:val="18"/>
              </w:rPr>
              <w:t xml:space="preserve"> in </w:t>
            </w:r>
            <w:r w:rsidR="00C17456">
              <w:rPr>
                <w:b w:val="0"/>
                <w:bCs/>
                <w:sz w:val="18"/>
                <w:szCs w:val="18"/>
              </w:rPr>
              <w:t xml:space="preserve">the respective </w:t>
            </w:r>
            <w:r>
              <w:rPr>
                <w:b w:val="0"/>
                <w:bCs/>
                <w:sz w:val="18"/>
                <w:szCs w:val="18"/>
              </w:rPr>
              <w:t>country</w:t>
            </w:r>
          </w:p>
        </w:tc>
        <w:tc>
          <w:tcPr>
            <w:tcW w:w="7200" w:type="dxa"/>
          </w:tcPr>
          <w:p w:rsidR="00AA09F4" w:rsidRPr="00343146" w:rsidRDefault="00AA09F4" w:rsidP="00507FA5">
            <w:pPr>
              <w:rPr>
                <w:b w:val="0"/>
                <w:bCs/>
                <w:sz w:val="18"/>
                <w:szCs w:val="18"/>
              </w:rPr>
            </w:pPr>
            <w:r w:rsidRPr="00343146">
              <w:rPr>
                <w:sz w:val="18"/>
                <w:szCs w:val="18"/>
              </w:rPr>
              <w:t>To be used</w:t>
            </w:r>
            <w:r w:rsidRPr="00343146">
              <w:rPr>
                <w:b w:val="0"/>
                <w:bCs/>
                <w:sz w:val="18"/>
                <w:szCs w:val="18"/>
              </w:rPr>
              <w:t xml:space="preserve"> when invoicing goods </w:t>
            </w:r>
            <w:r>
              <w:rPr>
                <w:b w:val="0"/>
                <w:bCs/>
                <w:sz w:val="18"/>
                <w:szCs w:val="18"/>
              </w:rPr>
              <w:t xml:space="preserve">or services </w:t>
            </w:r>
            <w:r w:rsidR="00C17456">
              <w:rPr>
                <w:b w:val="0"/>
                <w:bCs/>
                <w:sz w:val="18"/>
                <w:szCs w:val="18"/>
              </w:rPr>
              <w:t xml:space="preserve">where the standard rate of </w:t>
            </w:r>
            <w:r>
              <w:rPr>
                <w:b w:val="0"/>
                <w:bCs/>
                <w:sz w:val="18"/>
                <w:szCs w:val="18"/>
              </w:rPr>
              <w:t xml:space="preserve"> VAT </w:t>
            </w:r>
            <w:r w:rsidR="00C17456">
              <w:rPr>
                <w:b w:val="0"/>
                <w:bCs/>
                <w:sz w:val="18"/>
                <w:szCs w:val="18"/>
              </w:rPr>
              <w:t>is applicable</w:t>
            </w:r>
          </w:p>
        </w:tc>
      </w:tr>
      <w:tr w:rsidR="00AA09F4">
        <w:tblPrEx>
          <w:tblCellMar>
            <w:top w:w="0" w:type="dxa"/>
            <w:bottom w:w="0" w:type="dxa"/>
          </w:tblCellMar>
        </w:tblPrEx>
        <w:tc>
          <w:tcPr>
            <w:tcW w:w="720" w:type="dxa"/>
          </w:tcPr>
          <w:p w:rsidR="00AA09F4" w:rsidRPr="00343146" w:rsidRDefault="00AA09F4" w:rsidP="00836FE3">
            <w:pPr>
              <w:rPr>
                <w:sz w:val="18"/>
                <w:szCs w:val="18"/>
              </w:rPr>
            </w:pPr>
            <w:r w:rsidRPr="00343146">
              <w:rPr>
                <w:sz w:val="18"/>
                <w:szCs w:val="18"/>
              </w:rPr>
              <w:t>AAA</w:t>
            </w:r>
          </w:p>
        </w:tc>
        <w:tc>
          <w:tcPr>
            <w:tcW w:w="2414" w:type="dxa"/>
          </w:tcPr>
          <w:p w:rsidR="00AA09F4" w:rsidRPr="00343146" w:rsidRDefault="00176B40" w:rsidP="00836FE3">
            <w:pPr>
              <w:rPr>
                <w:sz w:val="18"/>
                <w:szCs w:val="18"/>
              </w:rPr>
            </w:pPr>
            <w:r w:rsidRPr="00176B40">
              <w:rPr>
                <w:sz w:val="18"/>
                <w:szCs w:val="18"/>
              </w:rPr>
              <w:t>Article 146, 148 and 151 of Council Directive 2006/112//EC</w:t>
            </w:r>
          </w:p>
        </w:tc>
        <w:tc>
          <w:tcPr>
            <w:tcW w:w="3420" w:type="dxa"/>
          </w:tcPr>
          <w:p w:rsidR="00AA09F4" w:rsidRPr="00343146" w:rsidRDefault="00176B40" w:rsidP="00DF70CF">
            <w:pPr>
              <w:rPr>
                <w:sz w:val="18"/>
                <w:szCs w:val="18"/>
              </w:rPr>
            </w:pPr>
            <w:r w:rsidRPr="00176B40">
              <w:rPr>
                <w:b w:val="0"/>
                <w:bCs/>
                <w:sz w:val="18"/>
                <w:szCs w:val="18"/>
              </w:rPr>
              <w:t>Exemption of exports from the Community and like transactions and international transport.</w:t>
            </w:r>
          </w:p>
        </w:tc>
        <w:tc>
          <w:tcPr>
            <w:tcW w:w="7200" w:type="dxa"/>
          </w:tcPr>
          <w:p w:rsidR="00AA09F4" w:rsidRPr="00343146" w:rsidRDefault="00176B40" w:rsidP="00DF70CF">
            <w:pPr>
              <w:rPr>
                <w:b w:val="0"/>
                <w:bCs/>
                <w:sz w:val="18"/>
                <w:szCs w:val="18"/>
              </w:rPr>
            </w:pPr>
            <w:r w:rsidRPr="00176B40">
              <w:rPr>
                <w:sz w:val="18"/>
                <w:szCs w:val="18"/>
              </w:rPr>
              <w:t xml:space="preserve">To be used </w:t>
            </w:r>
            <w:r w:rsidRPr="00176B40">
              <w:rPr>
                <w:b w:val="0"/>
                <w:sz w:val="18"/>
                <w:szCs w:val="18"/>
              </w:rPr>
              <w:t>when invoicing goods which are delivered to a non-EC country and when invoicing certain services, where these are directly connected with the export of goods.</w:t>
            </w:r>
          </w:p>
        </w:tc>
      </w:tr>
      <w:tr w:rsidR="00AA09F4">
        <w:tblPrEx>
          <w:tblCellMar>
            <w:top w:w="0" w:type="dxa"/>
            <w:bottom w:w="0" w:type="dxa"/>
          </w:tblCellMar>
        </w:tblPrEx>
        <w:tc>
          <w:tcPr>
            <w:tcW w:w="720" w:type="dxa"/>
          </w:tcPr>
          <w:p w:rsidR="00AA09F4" w:rsidRPr="00343146" w:rsidRDefault="00AA09F4" w:rsidP="00836FE3">
            <w:pPr>
              <w:rPr>
                <w:sz w:val="18"/>
                <w:szCs w:val="18"/>
              </w:rPr>
            </w:pPr>
            <w:r w:rsidRPr="00343146">
              <w:rPr>
                <w:sz w:val="18"/>
                <w:szCs w:val="18"/>
              </w:rPr>
              <w:t>AAB</w:t>
            </w:r>
          </w:p>
        </w:tc>
        <w:tc>
          <w:tcPr>
            <w:tcW w:w="2414" w:type="dxa"/>
          </w:tcPr>
          <w:p w:rsidR="00AA09F4" w:rsidRPr="00343146" w:rsidRDefault="00176B40" w:rsidP="00836FE3">
            <w:pPr>
              <w:rPr>
                <w:sz w:val="18"/>
                <w:szCs w:val="18"/>
              </w:rPr>
            </w:pPr>
            <w:r w:rsidRPr="00176B40">
              <w:rPr>
                <w:sz w:val="18"/>
                <w:szCs w:val="18"/>
              </w:rPr>
              <w:t>Exempt – Article 164 of Council Directive 2006/112//EC</w:t>
            </w:r>
          </w:p>
        </w:tc>
        <w:tc>
          <w:tcPr>
            <w:tcW w:w="3420" w:type="dxa"/>
          </w:tcPr>
          <w:p w:rsidR="00AA09F4" w:rsidRPr="00343146" w:rsidRDefault="00176B40" w:rsidP="00DF70CF">
            <w:pPr>
              <w:rPr>
                <w:sz w:val="18"/>
                <w:szCs w:val="18"/>
              </w:rPr>
            </w:pPr>
            <w:r w:rsidRPr="00176B40">
              <w:rPr>
                <w:b w:val="0"/>
                <w:bCs/>
                <w:sz w:val="18"/>
                <w:szCs w:val="18"/>
              </w:rPr>
              <w:t>Special exemptions linked to international goods traffic.</w:t>
            </w:r>
          </w:p>
        </w:tc>
        <w:tc>
          <w:tcPr>
            <w:tcW w:w="7200" w:type="dxa"/>
          </w:tcPr>
          <w:p w:rsidR="00176B40" w:rsidRPr="00176B40" w:rsidRDefault="00176B40" w:rsidP="00176B40">
            <w:pPr>
              <w:rPr>
                <w:b w:val="0"/>
                <w:sz w:val="18"/>
                <w:szCs w:val="18"/>
              </w:rPr>
            </w:pPr>
            <w:r w:rsidRPr="00176B40">
              <w:rPr>
                <w:sz w:val="18"/>
                <w:szCs w:val="18"/>
              </w:rPr>
              <w:t xml:space="preserve">To be used </w:t>
            </w:r>
            <w:r w:rsidRPr="00176B40">
              <w:rPr>
                <w:b w:val="0"/>
                <w:sz w:val="18"/>
                <w:szCs w:val="18"/>
              </w:rPr>
              <w:t>when invoicing goods which are imported from a non EC country into an approved warehouse, or free zone, within the EC area, and held in warehouse under VAT suspension. This arrangement may also include VAT suspended goods movements between different approved warehouses within the EC provided that the goods are re-exported from the warehouse to a non-EC country. Should also be used for transport costs included in customs value.</w:t>
            </w:r>
          </w:p>
          <w:p w:rsidR="00176B40" w:rsidRPr="00176B40" w:rsidRDefault="00176B40" w:rsidP="00176B40">
            <w:pPr>
              <w:rPr>
                <w:b w:val="0"/>
                <w:sz w:val="18"/>
                <w:szCs w:val="18"/>
              </w:rPr>
            </w:pPr>
            <w:r w:rsidRPr="00176B40">
              <w:rPr>
                <w:b w:val="0"/>
                <w:sz w:val="18"/>
                <w:szCs w:val="18"/>
              </w:rPr>
              <w:t>Example: a company in EC country A imports goods from US and stores them in an approved warehouse, under VAT suspension. The EC company A then sells the goods to a company in EC country B and transfer the goods from the warehouse in country A to a warehouse in country B, still under VAT suspension.</w:t>
            </w:r>
          </w:p>
          <w:p w:rsidR="00AA09F4" w:rsidRPr="00343146" w:rsidRDefault="00176B40" w:rsidP="00176B40">
            <w:pPr>
              <w:rPr>
                <w:b w:val="0"/>
                <w:bCs/>
                <w:sz w:val="18"/>
                <w:szCs w:val="18"/>
              </w:rPr>
            </w:pPr>
            <w:r w:rsidRPr="00176B40">
              <w:rPr>
                <w:b w:val="0"/>
                <w:sz w:val="18"/>
                <w:szCs w:val="18"/>
              </w:rPr>
              <w:t>Then the company in country B sells and delivers the goods to a company in Russia.</w:t>
            </w:r>
          </w:p>
        </w:tc>
      </w:tr>
      <w:tr w:rsidR="00AA09F4">
        <w:tblPrEx>
          <w:tblCellMar>
            <w:top w:w="0" w:type="dxa"/>
            <w:bottom w:w="0" w:type="dxa"/>
          </w:tblCellMar>
        </w:tblPrEx>
        <w:tc>
          <w:tcPr>
            <w:tcW w:w="720" w:type="dxa"/>
          </w:tcPr>
          <w:p w:rsidR="00AA09F4" w:rsidRPr="00343146" w:rsidRDefault="00AA09F4" w:rsidP="00836FE3">
            <w:pPr>
              <w:rPr>
                <w:sz w:val="18"/>
                <w:szCs w:val="18"/>
              </w:rPr>
            </w:pPr>
            <w:r w:rsidRPr="00343146">
              <w:rPr>
                <w:sz w:val="18"/>
                <w:szCs w:val="18"/>
              </w:rPr>
              <w:t>AAC</w:t>
            </w:r>
          </w:p>
        </w:tc>
        <w:tc>
          <w:tcPr>
            <w:tcW w:w="2414" w:type="dxa"/>
          </w:tcPr>
          <w:p w:rsidR="00AA09F4" w:rsidRPr="00343146" w:rsidRDefault="00176B40" w:rsidP="00836FE3">
            <w:pPr>
              <w:rPr>
                <w:b w:val="0"/>
                <w:bCs/>
                <w:sz w:val="18"/>
                <w:szCs w:val="18"/>
              </w:rPr>
            </w:pPr>
            <w:r w:rsidRPr="00176B40">
              <w:rPr>
                <w:sz w:val="18"/>
                <w:szCs w:val="18"/>
              </w:rPr>
              <w:t>Exempt – Article 138 of Council Directive 2006/112//EC</w:t>
            </w:r>
          </w:p>
        </w:tc>
        <w:tc>
          <w:tcPr>
            <w:tcW w:w="3420" w:type="dxa"/>
          </w:tcPr>
          <w:p w:rsidR="00AA09F4" w:rsidRPr="00343146" w:rsidRDefault="00176B40" w:rsidP="00DF70CF">
            <w:pPr>
              <w:rPr>
                <w:sz w:val="18"/>
                <w:szCs w:val="18"/>
              </w:rPr>
            </w:pPr>
            <w:r w:rsidRPr="00176B40">
              <w:rPr>
                <w:b w:val="0"/>
                <w:bCs/>
                <w:sz w:val="18"/>
                <w:szCs w:val="18"/>
              </w:rPr>
              <w:t>Exempt Intra-Community supplies of goods.</w:t>
            </w:r>
          </w:p>
        </w:tc>
        <w:tc>
          <w:tcPr>
            <w:tcW w:w="7200" w:type="dxa"/>
          </w:tcPr>
          <w:p w:rsidR="00176B40" w:rsidRPr="00176B40" w:rsidRDefault="00176B40" w:rsidP="00176B40">
            <w:pPr>
              <w:rPr>
                <w:b w:val="0"/>
                <w:sz w:val="18"/>
                <w:szCs w:val="18"/>
              </w:rPr>
            </w:pPr>
            <w:r w:rsidRPr="00176B40">
              <w:rPr>
                <w:sz w:val="18"/>
                <w:szCs w:val="18"/>
              </w:rPr>
              <w:t xml:space="preserve">To be used </w:t>
            </w:r>
            <w:r w:rsidRPr="00176B40">
              <w:rPr>
                <w:b w:val="0"/>
                <w:sz w:val="18"/>
                <w:szCs w:val="18"/>
              </w:rPr>
              <w:t>when invoicing goods which are delivered from one EC country to another EC country if the customer has a VAT number in another EC country.</w:t>
            </w:r>
          </w:p>
          <w:p w:rsidR="00AA09F4" w:rsidRPr="00343146" w:rsidRDefault="00176B40" w:rsidP="00176B40">
            <w:pPr>
              <w:rPr>
                <w:b w:val="0"/>
                <w:bCs/>
                <w:sz w:val="18"/>
                <w:szCs w:val="18"/>
              </w:rPr>
            </w:pPr>
            <w:r w:rsidRPr="00176B40">
              <w:rPr>
                <w:b w:val="0"/>
                <w:sz w:val="18"/>
                <w:szCs w:val="18"/>
              </w:rPr>
              <w:t>The goods have to be dispatched or transported by or on behalf of the vendor or the person acquiring the goods.</w:t>
            </w:r>
          </w:p>
        </w:tc>
      </w:tr>
      <w:tr w:rsidR="00AA09F4">
        <w:tblPrEx>
          <w:tblCellMar>
            <w:top w:w="0" w:type="dxa"/>
            <w:bottom w:w="0" w:type="dxa"/>
          </w:tblCellMar>
        </w:tblPrEx>
        <w:tc>
          <w:tcPr>
            <w:tcW w:w="720" w:type="dxa"/>
          </w:tcPr>
          <w:p w:rsidR="00AA09F4" w:rsidRPr="00343146" w:rsidRDefault="00176B40" w:rsidP="00836FE3">
            <w:pPr>
              <w:rPr>
                <w:sz w:val="18"/>
                <w:szCs w:val="18"/>
              </w:rPr>
            </w:pPr>
            <w:r w:rsidRPr="00176B40">
              <w:rPr>
                <w:sz w:val="18"/>
                <w:szCs w:val="18"/>
              </w:rPr>
              <w:t>AAD</w:t>
            </w:r>
          </w:p>
        </w:tc>
        <w:tc>
          <w:tcPr>
            <w:tcW w:w="2414" w:type="dxa"/>
          </w:tcPr>
          <w:p w:rsidR="00AA09F4" w:rsidRPr="00343146" w:rsidRDefault="00176B40" w:rsidP="00836FE3">
            <w:pPr>
              <w:rPr>
                <w:b w:val="0"/>
                <w:sz w:val="18"/>
                <w:szCs w:val="18"/>
              </w:rPr>
            </w:pPr>
            <w:r w:rsidRPr="00176B40">
              <w:rPr>
                <w:sz w:val="18"/>
                <w:szCs w:val="18"/>
              </w:rPr>
              <w:t>VAT exempt - Article 44 of Council Directive 2006/112/EC</w:t>
            </w:r>
          </w:p>
        </w:tc>
        <w:tc>
          <w:tcPr>
            <w:tcW w:w="3420" w:type="dxa"/>
          </w:tcPr>
          <w:p w:rsidR="00AA09F4" w:rsidRPr="00343146" w:rsidRDefault="00176B40" w:rsidP="00DF70CF">
            <w:pPr>
              <w:rPr>
                <w:sz w:val="18"/>
                <w:szCs w:val="18"/>
              </w:rPr>
            </w:pPr>
            <w:r w:rsidRPr="00176B40">
              <w:rPr>
                <w:b w:val="0"/>
                <w:sz w:val="18"/>
                <w:szCs w:val="18"/>
              </w:rPr>
              <w:t>VAT Exempt cross border supply of services to a customer in a non EC country</w:t>
            </w:r>
          </w:p>
        </w:tc>
        <w:tc>
          <w:tcPr>
            <w:tcW w:w="7200" w:type="dxa"/>
          </w:tcPr>
          <w:p w:rsidR="00AA09F4" w:rsidRPr="00343146" w:rsidRDefault="00176B40" w:rsidP="00DF70CF">
            <w:pPr>
              <w:rPr>
                <w:b w:val="0"/>
                <w:sz w:val="18"/>
                <w:szCs w:val="18"/>
              </w:rPr>
            </w:pPr>
            <w:r w:rsidRPr="00176B40">
              <w:rPr>
                <w:sz w:val="18"/>
                <w:szCs w:val="18"/>
              </w:rPr>
              <w:t xml:space="preserve">To be used </w:t>
            </w:r>
            <w:r w:rsidRPr="00176B40">
              <w:rPr>
                <w:b w:val="0"/>
                <w:sz w:val="18"/>
                <w:szCs w:val="18"/>
              </w:rPr>
              <w:t>when invoicing all taxable services except from work on real estate, passenger transport, cultural, educational, entertainment, scientific and similar services, restaurant and catering services and short time hiring of means of transport.</w:t>
            </w:r>
          </w:p>
        </w:tc>
      </w:tr>
      <w:tr w:rsidR="00AA09F4">
        <w:tblPrEx>
          <w:tblCellMar>
            <w:top w:w="0" w:type="dxa"/>
            <w:bottom w:w="0" w:type="dxa"/>
          </w:tblCellMar>
        </w:tblPrEx>
        <w:tc>
          <w:tcPr>
            <w:tcW w:w="720" w:type="dxa"/>
          </w:tcPr>
          <w:p w:rsidR="00AA09F4" w:rsidRPr="00343146" w:rsidRDefault="00176B40" w:rsidP="00836FE3">
            <w:pPr>
              <w:rPr>
                <w:sz w:val="18"/>
                <w:szCs w:val="18"/>
              </w:rPr>
            </w:pPr>
            <w:r w:rsidRPr="00176B40">
              <w:rPr>
                <w:sz w:val="18"/>
                <w:szCs w:val="18"/>
              </w:rPr>
              <w:t>AAE</w:t>
            </w:r>
          </w:p>
        </w:tc>
        <w:tc>
          <w:tcPr>
            <w:tcW w:w="2414" w:type="dxa"/>
          </w:tcPr>
          <w:p w:rsidR="00AA09F4" w:rsidRPr="00343146" w:rsidRDefault="00176B40" w:rsidP="00836FE3">
            <w:pPr>
              <w:rPr>
                <w:sz w:val="18"/>
                <w:szCs w:val="18"/>
              </w:rPr>
            </w:pPr>
            <w:r w:rsidRPr="00176B40">
              <w:rPr>
                <w:sz w:val="18"/>
                <w:szCs w:val="18"/>
              </w:rPr>
              <w:t>Reverse Charge - Article 44 of Council Directive 2006/112/EC</w:t>
            </w:r>
          </w:p>
        </w:tc>
        <w:tc>
          <w:tcPr>
            <w:tcW w:w="3420" w:type="dxa"/>
          </w:tcPr>
          <w:p w:rsidR="00AA09F4" w:rsidRPr="00343146" w:rsidRDefault="00176B40" w:rsidP="009B3171">
            <w:pPr>
              <w:rPr>
                <w:sz w:val="18"/>
                <w:szCs w:val="18"/>
              </w:rPr>
            </w:pPr>
            <w:r w:rsidRPr="00176B40">
              <w:rPr>
                <w:b w:val="0"/>
                <w:bCs/>
                <w:sz w:val="18"/>
                <w:szCs w:val="18"/>
              </w:rPr>
              <w:t>Reverse charge cross border supply of services to a customer in another EC country</w:t>
            </w:r>
          </w:p>
        </w:tc>
        <w:tc>
          <w:tcPr>
            <w:tcW w:w="7200" w:type="dxa"/>
          </w:tcPr>
          <w:p w:rsidR="00176B40" w:rsidRPr="00176B40" w:rsidRDefault="00176B40" w:rsidP="00176B40">
            <w:pPr>
              <w:rPr>
                <w:b w:val="0"/>
                <w:sz w:val="18"/>
                <w:szCs w:val="18"/>
              </w:rPr>
            </w:pPr>
            <w:r w:rsidRPr="00176B40">
              <w:rPr>
                <w:sz w:val="18"/>
                <w:szCs w:val="18"/>
              </w:rPr>
              <w:t xml:space="preserve">To be used </w:t>
            </w:r>
            <w:r w:rsidRPr="00176B40">
              <w:rPr>
                <w:b w:val="0"/>
                <w:sz w:val="18"/>
                <w:szCs w:val="18"/>
              </w:rPr>
              <w:t>when invoicing all taxable services except from work on real estate, passenger</w:t>
            </w:r>
          </w:p>
          <w:p w:rsidR="00176B40" w:rsidRPr="00176B40" w:rsidRDefault="00176B40" w:rsidP="00176B40">
            <w:pPr>
              <w:rPr>
                <w:b w:val="0"/>
                <w:sz w:val="18"/>
                <w:szCs w:val="18"/>
              </w:rPr>
            </w:pPr>
            <w:r w:rsidRPr="00176B40">
              <w:rPr>
                <w:b w:val="0"/>
                <w:sz w:val="18"/>
                <w:szCs w:val="18"/>
              </w:rPr>
              <w:t>transport, cultural, educational, entertainment, scientific and similar services, restaurant and</w:t>
            </w:r>
          </w:p>
          <w:p w:rsidR="00AA09F4" w:rsidRPr="00343146" w:rsidRDefault="00176B40" w:rsidP="00176B40">
            <w:pPr>
              <w:rPr>
                <w:b w:val="0"/>
                <w:bCs/>
                <w:sz w:val="18"/>
                <w:szCs w:val="18"/>
              </w:rPr>
            </w:pPr>
            <w:r w:rsidRPr="00176B40">
              <w:rPr>
                <w:b w:val="0"/>
                <w:sz w:val="18"/>
                <w:szCs w:val="18"/>
              </w:rPr>
              <w:t>catering services and short time hiring of means of transport.</w:t>
            </w:r>
          </w:p>
        </w:tc>
      </w:tr>
      <w:tr w:rsidR="00AA09F4">
        <w:tblPrEx>
          <w:tblCellMar>
            <w:top w:w="0" w:type="dxa"/>
            <w:bottom w:w="0" w:type="dxa"/>
          </w:tblCellMar>
        </w:tblPrEx>
        <w:tc>
          <w:tcPr>
            <w:tcW w:w="720" w:type="dxa"/>
          </w:tcPr>
          <w:p w:rsidR="00AA09F4" w:rsidRPr="00343146" w:rsidRDefault="00176B40" w:rsidP="00836FE3">
            <w:pPr>
              <w:rPr>
                <w:sz w:val="18"/>
                <w:szCs w:val="18"/>
                <w:lang w:val="en-US"/>
              </w:rPr>
            </w:pPr>
            <w:r w:rsidRPr="00176B40">
              <w:rPr>
                <w:sz w:val="18"/>
                <w:szCs w:val="18"/>
                <w:lang w:val="en-US"/>
              </w:rPr>
              <w:t>AAF</w:t>
            </w:r>
          </w:p>
        </w:tc>
        <w:tc>
          <w:tcPr>
            <w:tcW w:w="2414" w:type="dxa"/>
          </w:tcPr>
          <w:p w:rsidR="00AA09F4" w:rsidRPr="00343146" w:rsidRDefault="00176B40" w:rsidP="00836FE3">
            <w:pPr>
              <w:rPr>
                <w:sz w:val="18"/>
                <w:szCs w:val="18"/>
              </w:rPr>
            </w:pPr>
            <w:r w:rsidRPr="00176B40">
              <w:rPr>
                <w:sz w:val="18"/>
                <w:szCs w:val="18"/>
                <w:lang w:val="en-US"/>
              </w:rPr>
              <w:t>Exempt – Article 346 of Council Directive 2006/112//EC</w:t>
            </w:r>
          </w:p>
        </w:tc>
        <w:tc>
          <w:tcPr>
            <w:tcW w:w="3420" w:type="dxa"/>
          </w:tcPr>
          <w:p w:rsidR="00AA09F4" w:rsidRPr="00343146" w:rsidRDefault="00176B40" w:rsidP="009B3171">
            <w:pPr>
              <w:rPr>
                <w:sz w:val="18"/>
                <w:szCs w:val="18"/>
                <w:lang w:val="en-US"/>
              </w:rPr>
            </w:pPr>
            <w:r w:rsidRPr="00176B40">
              <w:rPr>
                <w:b w:val="0"/>
                <w:bCs/>
                <w:sz w:val="18"/>
                <w:szCs w:val="18"/>
                <w:lang w:val="en-US"/>
              </w:rPr>
              <w:t>Exemption under the special scheme for investment gold.</w:t>
            </w:r>
          </w:p>
        </w:tc>
        <w:tc>
          <w:tcPr>
            <w:tcW w:w="7200" w:type="dxa"/>
          </w:tcPr>
          <w:p w:rsidR="00176B40" w:rsidRPr="00176B40" w:rsidRDefault="00176B40" w:rsidP="00176B40">
            <w:pPr>
              <w:rPr>
                <w:b w:val="0"/>
                <w:sz w:val="18"/>
                <w:szCs w:val="18"/>
              </w:rPr>
            </w:pPr>
            <w:r w:rsidRPr="00176B40">
              <w:rPr>
                <w:sz w:val="18"/>
                <w:szCs w:val="18"/>
              </w:rPr>
              <w:t xml:space="preserve">To be used </w:t>
            </w:r>
            <w:r w:rsidRPr="00176B40">
              <w:rPr>
                <w:b w:val="0"/>
                <w:sz w:val="18"/>
                <w:szCs w:val="18"/>
              </w:rPr>
              <w:t>when invoicing investment gold to a customer in another EC country, where the</w:t>
            </w:r>
          </w:p>
          <w:p w:rsidR="00AA09F4" w:rsidRPr="00343146" w:rsidRDefault="00176B40" w:rsidP="00176B40">
            <w:pPr>
              <w:rPr>
                <w:b w:val="0"/>
                <w:bCs/>
                <w:sz w:val="18"/>
                <w:szCs w:val="18"/>
                <w:lang w:val="en-US"/>
              </w:rPr>
            </w:pPr>
            <w:r w:rsidRPr="00176B40">
              <w:rPr>
                <w:b w:val="0"/>
                <w:sz w:val="18"/>
                <w:szCs w:val="18"/>
              </w:rPr>
              <w:t>special scheme for investment gold is applicable.</w:t>
            </w:r>
          </w:p>
        </w:tc>
      </w:tr>
      <w:tr w:rsidR="00AA09F4">
        <w:tblPrEx>
          <w:tblCellMar>
            <w:top w:w="0" w:type="dxa"/>
            <w:bottom w:w="0" w:type="dxa"/>
          </w:tblCellMar>
        </w:tblPrEx>
        <w:tc>
          <w:tcPr>
            <w:tcW w:w="720" w:type="dxa"/>
          </w:tcPr>
          <w:p w:rsidR="00AA09F4" w:rsidRPr="00343146" w:rsidRDefault="00176B40" w:rsidP="00836FE3">
            <w:pPr>
              <w:rPr>
                <w:sz w:val="18"/>
                <w:szCs w:val="18"/>
              </w:rPr>
            </w:pPr>
            <w:r w:rsidRPr="00176B40">
              <w:rPr>
                <w:sz w:val="18"/>
                <w:szCs w:val="18"/>
              </w:rPr>
              <w:t>AAG</w:t>
            </w:r>
          </w:p>
        </w:tc>
        <w:tc>
          <w:tcPr>
            <w:tcW w:w="2414" w:type="dxa"/>
          </w:tcPr>
          <w:p w:rsidR="00AA09F4" w:rsidRPr="00343146" w:rsidRDefault="00176B40" w:rsidP="00836FE3">
            <w:pPr>
              <w:rPr>
                <w:sz w:val="18"/>
                <w:szCs w:val="18"/>
              </w:rPr>
            </w:pPr>
            <w:r w:rsidRPr="00176B40">
              <w:rPr>
                <w:sz w:val="18"/>
                <w:szCs w:val="18"/>
              </w:rPr>
              <w:t>Exempt – Article 131, 132 and 135 of Council Directive 2006/112//EC</w:t>
            </w:r>
          </w:p>
        </w:tc>
        <w:tc>
          <w:tcPr>
            <w:tcW w:w="3420" w:type="dxa"/>
          </w:tcPr>
          <w:p w:rsidR="00AA09F4" w:rsidRPr="00343146" w:rsidRDefault="00176B40" w:rsidP="009B3171">
            <w:pPr>
              <w:rPr>
                <w:sz w:val="18"/>
                <w:szCs w:val="18"/>
              </w:rPr>
            </w:pPr>
            <w:r w:rsidRPr="00176B40">
              <w:rPr>
                <w:b w:val="0"/>
                <w:bCs/>
                <w:sz w:val="18"/>
                <w:szCs w:val="18"/>
              </w:rPr>
              <w:t>Exempt within the territory of the country.</w:t>
            </w:r>
          </w:p>
        </w:tc>
        <w:tc>
          <w:tcPr>
            <w:tcW w:w="7200" w:type="dxa"/>
          </w:tcPr>
          <w:p w:rsidR="00176B40" w:rsidRPr="00176B40" w:rsidRDefault="00176B40" w:rsidP="00176B40">
            <w:pPr>
              <w:rPr>
                <w:b w:val="0"/>
                <w:sz w:val="18"/>
                <w:szCs w:val="18"/>
              </w:rPr>
            </w:pPr>
            <w:r w:rsidRPr="00176B40">
              <w:rPr>
                <w:sz w:val="18"/>
                <w:szCs w:val="18"/>
              </w:rPr>
              <w:t xml:space="preserve">To be used </w:t>
            </w:r>
            <w:r w:rsidRPr="00176B40">
              <w:rPr>
                <w:b w:val="0"/>
                <w:sz w:val="18"/>
                <w:szCs w:val="18"/>
              </w:rPr>
              <w:t>when invoicing, within the supplier’s own country, goods and services that are</w:t>
            </w:r>
          </w:p>
          <w:p w:rsidR="00176B40" w:rsidRPr="00176B40" w:rsidRDefault="00176B40" w:rsidP="00176B40">
            <w:pPr>
              <w:rPr>
                <w:b w:val="0"/>
                <w:sz w:val="18"/>
                <w:szCs w:val="18"/>
              </w:rPr>
            </w:pPr>
            <w:r w:rsidRPr="00176B40">
              <w:rPr>
                <w:b w:val="0"/>
                <w:sz w:val="18"/>
                <w:szCs w:val="18"/>
              </w:rPr>
              <w:t>exempt from VAT under the national legislation – e.g. banking-, insurance services, hospital</w:t>
            </w:r>
          </w:p>
          <w:p w:rsidR="00AA09F4" w:rsidRPr="00343146" w:rsidRDefault="00176B40" w:rsidP="00176B40">
            <w:pPr>
              <w:rPr>
                <w:b w:val="0"/>
                <w:bCs/>
                <w:sz w:val="18"/>
                <w:szCs w:val="18"/>
              </w:rPr>
            </w:pPr>
            <w:r w:rsidRPr="00176B40">
              <w:rPr>
                <w:b w:val="0"/>
                <w:sz w:val="18"/>
                <w:szCs w:val="18"/>
              </w:rPr>
              <w:t>care, medicine and education.</w:t>
            </w:r>
          </w:p>
        </w:tc>
      </w:tr>
      <w:tr w:rsidR="00AA09F4">
        <w:tblPrEx>
          <w:tblCellMar>
            <w:top w:w="0" w:type="dxa"/>
            <w:bottom w:w="0" w:type="dxa"/>
          </w:tblCellMar>
        </w:tblPrEx>
        <w:tc>
          <w:tcPr>
            <w:tcW w:w="720" w:type="dxa"/>
          </w:tcPr>
          <w:p w:rsidR="00AA09F4" w:rsidRPr="00343146" w:rsidRDefault="00176B40" w:rsidP="00836FE3">
            <w:pPr>
              <w:rPr>
                <w:sz w:val="18"/>
                <w:szCs w:val="18"/>
              </w:rPr>
            </w:pPr>
            <w:r w:rsidRPr="00176B40">
              <w:rPr>
                <w:sz w:val="18"/>
                <w:szCs w:val="18"/>
              </w:rPr>
              <w:t>AAH</w:t>
            </w:r>
          </w:p>
        </w:tc>
        <w:tc>
          <w:tcPr>
            <w:tcW w:w="2414" w:type="dxa"/>
          </w:tcPr>
          <w:p w:rsidR="00AA09F4" w:rsidRPr="00343146" w:rsidRDefault="00176B40" w:rsidP="00836FE3">
            <w:pPr>
              <w:rPr>
                <w:sz w:val="18"/>
                <w:szCs w:val="18"/>
              </w:rPr>
            </w:pPr>
            <w:r w:rsidRPr="00176B40">
              <w:rPr>
                <w:sz w:val="18"/>
                <w:szCs w:val="18"/>
              </w:rPr>
              <w:t>Margin Scheme – Title X11,Chapter 4 of Council Directive 2006/112//EC</w:t>
            </w:r>
          </w:p>
        </w:tc>
        <w:tc>
          <w:tcPr>
            <w:tcW w:w="3420" w:type="dxa"/>
          </w:tcPr>
          <w:p w:rsidR="00AA09F4" w:rsidRPr="00343146" w:rsidRDefault="00176B40" w:rsidP="00176B40">
            <w:pPr>
              <w:rPr>
                <w:sz w:val="18"/>
                <w:szCs w:val="18"/>
              </w:rPr>
            </w:pPr>
            <w:r w:rsidRPr="00176B40">
              <w:rPr>
                <w:b w:val="0"/>
                <w:bCs/>
                <w:sz w:val="18"/>
                <w:szCs w:val="18"/>
              </w:rPr>
              <w:t>Special arrangements applicable to second-hand goods, works of art, collectors items and</w:t>
            </w:r>
            <w:r>
              <w:rPr>
                <w:b w:val="0"/>
                <w:bCs/>
                <w:sz w:val="18"/>
                <w:szCs w:val="18"/>
              </w:rPr>
              <w:t xml:space="preserve"> </w:t>
            </w:r>
            <w:r w:rsidRPr="00176B40">
              <w:rPr>
                <w:b w:val="0"/>
                <w:bCs/>
                <w:sz w:val="18"/>
                <w:szCs w:val="18"/>
              </w:rPr>
              <w:t>antiques.</w:t>
            </w:r>
          </w:p>
        </w:tc>
        <w:tc>
          <w:tcPr>
            <w:tcW w:w="7200" w:type="dxa"/>
          </w:tcPr>
          <w:p w:rsidR="00176B40" w:rsidRPr="00176B40" w:rsidRDefault="00176B40" w:rsidP="00176B40">
            <w:pPr>
              <w:rPr>
                <w:b w:val="0"/>
                <w:sz w:val="18"/>
                <w:szCs w:val="18"/>
              </w:rPr>
            </w:pPr>
            <w:r w:rsidRPr="00176B40">
              <w:rPr>
                <w:sz w:val="18"/>
                <w:szCs w:val="18"/>
              </w:rPr>
              <w:t xml:space="preserve">To be used </w:t>
            </w:r>
            <w:r w:rsidRPr="00176B40">
              <w:rPr>
                <w:b w:val="0"/>
                <w:sz w:val="18"/>
                <w:szCs w:val="18"/>
              </w:rPr>
              <w:t>when invoicing second-hand goods, works of arts, collector’s items and antiques</w:t>
            </w:r>
          </w:p>
          <w:p w:rsidR="00AA09F4" w:rsidRPr="00343146" w:rsidRDefault="00176B40" w:rsidP="00176B40">
            <w:pPr>
              <w:rPr>
                <w:b w:val="0"/>
                <w:bCs/>
                <w:sz w:val="18"/>
                <w:szCs w:val="18"/>
              </w:rPr>
            </w:pPr>
            <w:r w:rsidRPr="00176B40">
              <w:rPr>
                <w:b w:val="0"/>
                <w:sz w:val="18"/>
                <w:szCs w:val="18"/>
              </w:rPr>
              <w:t>where the margin scheme is applicable.</w:t>
            </w:r>
          </w:p>
        </w:tc>
      </w:tr>
      <w:tr w:rsidR="00AA09F4">
        <w:tblPrEx>
          <w:tblCellMar>
            <w:top w:w="0" w:type="dxa"/>
            <w:bottom w:w="0" w:type="dxa"/>
          </w:tblCellMar>
        </w:tblPrEx>
        <w:tc>
          <w:tcPr>
            <w:tcW w:w="720" w:type="dxa"/>
          </w:tcPr>
          <w:p w:rsidR="00AA09F4" w:rsidRPr="00343146" w:rsidRDefault="00176B40" w:rsidP="00836FE3">
            <w:pPr>
              <w:rPr>
                <w:sz w:val="18"/>
                <w:szCs w:val="18"/>
              </w:rPr>
            </w:pPr>
            <w:r w:rsidRPr="00176B40">
              <w:rPr>
                <w:sz w:val="18"/>
                <w:szCs w:val="18"/>
              </w:rPr>
              <w:lastRenderedPageBreak/>
              <w:t>AAI</w:t>
            </w:r>
          </w:p>
        </w:tc>
        <w:tc>
          <w:tcPr>
            <w:tcW w:w="2414" w:type="dxa"/>
          </w:tcPr>
          <w:p w:rsidR="00AA09F4" w:rsidRPr="00343146" w:rsidRDefault="00176B40" w:rsidP="00836FE3">
            <w:pPr>
              <w:rPr>
                <w:sz w:val="18"/>
                <w:szCs w:val="18"/>
              </w:rPr>
            </w:pPr>
            <w:r w:rsidRPr="00176B40">
              <w:rPr>
                <w:sz w:val="18"/>
                <w:szCs w:val="18"/>
              </w:rPr>
              <w:t>Margin Scheme –Title X11, Chapter 3 of Council Directive 2006/112//EC</w:t>
            </w:r>
          </w:p>
        </w:tc>
        <w:tc>
          <w:tcPr>
            <w:tcW w:w="3420" w:type="dxa"/>
          </w:tcPr>
          <w:p w:rsidR="00AA09F4" w:rsidRPr="00343146" w:rsidRDefault="00A8605B" w:rsidP="009B3171">
            <w:pPr>
              <w:rPr>
                <w:sz w:val="18"/>
                <w:szCs w:val="18"/>
              </w:rPr>
            </w:pPr>
            <w:r w:rsidRPr="00A8605B">
              <w:rPr>
                <w:b w:val="0"/>
                <w:bCs/>
                <w:sz w:val="18"/>
                <w:szCs w:val="18"/>
              </w:rPr>
              <w:t>Margin scheme for travel agents.</w:t>
            </w:r>
          </w:p>
        </w:tc>
        <w:tc>
          <w:tcPr>
            <w:tcW w:w="7200" w:type="dxa"/>
          </w:tcPr>
          <w:p w:rsidR="00A8605B" w:rsidRPr="00A8605B" w:rsidRDefault="00A8605B" w:rsidP="00A8605B">
            <w:pPr>
              <w:rPr>
                <w:b w:val="0"/>
                <w:sz w:val="18"/>
                <w:szCs w:val="18"/>
              </w:rPr>
            </w:pPr>
            <w:r w:rsidRPr="00A8605B">
              <w:rPr>
                <w:sz w:val="18"/>
                <w:szCs w:val="18"/>
              </w:rPr>
              <w:t xml:space="preserve">To be used </w:t>
            </w:r>
            <w:r w:rsidRPr="00A8605B">
              <w:rPr>
                <w:b w:val="0"/>
                <w:sz w:val="18"/>
                <w:szCs w:val="18"/>
              </w:rPr>
              <w:t>when invoicing for travel arrangements where the margin scheme for travel agents</w:t>
            </w:r>
          </w:p>
          <w:p w:rsidR="00AA09F4" w:rsidRPr="00343146" w:rsidRDefault="00A8605B" w:rsidP="00A8605B">
            <w:pPr>
              <w:rPr>
                <w:b w:val="0"/>
                <w:bCs/>
                <w:sz w:val="18"/>
                <w:szCs w:val="18"/>
              </w:rPr>
            </w:pPr>
            <w:r w:rsidRPr="00A8605B">
              <w:rPr>
                <w:b w:val="0"/>
                <w:sz w:val="18"/>
                <w:szCs w:val="18"/>
              </w:rPr>
              <w:t>is applicable.</w:t>
            </w:r>
          </w:p>
        </w:tc>
      </w:tr>
      <w:tr w:rsidR="00AA09F4">
        <w:tblPrEx>
          <w:tblCellMar>
            <w:top w:w="0" w:type="dxa"/>
            <w:bottom w:w="0" w:type="dxa"/>
          </w:tblCellMar>
        </w:tblPrEx>
        <w:tc>
          <w:tcPr>
            <w:tcW w:w="720" w:type="dxa"/>
          </w:tcPr>
          <w:p w:rsidR="00AA09F4" w:rsidRPr="00343146" w:rsidRDefault="00A8605B" w:rsidP="00836FE3">
            <w:pPr>
              <w:rPr>
                <w:sz w:val="18"/>
                <w:szCs w:val="18"/>
              </w:rPr>
            </w:pPr>
            <w:r w:rsidRPr="00A8605B">
              <w:rPr>
                <w:sz w:val="18"/>
                <w:szCs w:val="18"/>
              </w:rPr>
              <w:t>AAJ</w:t>
            </w:r>
          </w:p>
        </w:tc>
        <w:tc>
          <w:tcPr>
            <w:tcW w:w="2414" w:type="dxa"/>
          </w:tcPr>
          <w:p w:rsidR="00AA09F4" w:rsidRPr="00343146" w:rsidRDefault="00A8605B" w:rsidP="00836FE3">
            <w:pPr>
              <w:rPr>
                <w:sz w:val="18"/>
                <w:szCs w:val="18"/>
              </w:rPr>
            </w:pPr>
            <w:r w:rsidRPr="00A8605B">
              <w:rPr>
                <w:sz w:val="18"/>
                <w:szCs w:val="18"/>
              </w:rPr>
              <w:t>Reverse Charge – Article 198 of Council Directive 2006/112//EC</w:t>
            </w:r>
          </w:p>
        </w:tc>
        <w:tc>
          <w:tcPr>
            <w:tcW w:w="3420" w:type="dxa"/>
          </w:tcPr>
          <w:p w:rsidR="00AA09F4" w:rsidRPr="00343146" w:rsidRDefault="00A8605B" w:rsidP="009B3171">
            <w:pPr>
              <w:rPr>
                <w:sz w:val="18"/>
                <w:szCs w:val="18"/>
              </w:rPr>
            </w:pPr>
            <w:r w:rsidRPr="00A8605B">
              <w:rPr>
                <w:b w:val="0"/>
                <w:bCs/>
                <w:sz w:val="18"/>
                <w:szCs w:val="18"/>
              </w:rPr>
              <w:t>Reverse charge procedure applying to supplies of gold.</w:t>
            </w:r>
          </w:p>
        </w:tc>
        <w:tc>
          <w:tcPr>
            <w:tcW w:w="7200" w:type="dxa"/>
          </w:tcPr>
          <w:p w:rsidR="00A8605B" w:rsidRPr="00A8605B" w:rsidRDefault="00A8605B" w:rsidP="00A8605B">
            <w:pPr>
              <w:rPr>
                <w:b w:val="0"/>
                <w:sz w:val="18"/>
                <w:szCs w:val="18"/>
              </w:rPr>
            </w:pPr>
            <w:r w:rsidRPr="00A8605B">
              <w:rPr>
                <w:sz w:val="18"/>
                <w:szCs w:val="18"/>
              </w:rPr>
              <w:t xml:space="preserve">To be used </w:t>
            </w:r>
            <w:r w:rsidRPr="00A8605B">
              <w:rPr>
                <w:b w:val="0"/>
                <w:sz w:val="18"/>
                <w:szCs w:val="18"/>
              </w:rPr>
              <w:t>when the supplier of the investment gold, which would otherwise be exempt from</w:t>
            </w:r>
          </w:p>
          <w:p w:rsidR="00A8605B" w:rsidRPr="00A8605B" w:rsidRDefault="00A8605B" w:rsidP="00A8605B">
            <w:pPr>
              <w:rPr>
                <w:b w:val="0"/>
                <w:sz w:val="18"/>
                <w:szCs w:val="18"/>
              </w:rPr>
            </w:pPr>
            <w:r w:rsidRPr="00A8605B">
              <w:rPr>
                <w:b w:val="0"/>
                <w:sz w:val="18"/>
                <w:szCs w:val="18"/>
              </w:rPr>
              <w:t>VAT, has exercised the right to “option to tax”, under the Article 26b(C) of directive</w:t>
            </w:r>
          </w:p>
          <w:p w:rsidR="00A8605B" w:rsidRPr="00A8605B" w:rsidRDefault="00A8605B" w:rsidP="00A8605B">
            <w:pPr>
              <w:rPr>
                <w:b w:val="0"/>
                <w:sz w:val="18"/>
                <w:szCs w:val="18"/>
              </w:rPr>
            </w:pPr>
            <w:r w:rsidRPr="00A8605B">
              <w:rPr>
                <w:b w:val="0"/>
                <w:sz w:val="18"/>
                <w:szCs w:val="18"/>
              </w:rPr>
              <w:t>77/388/EC. Under this “option to tax” arrangement, the customer is liable to account for VAT</w:t>
            </w:r>
          </w:p>
          <w:p w:rsidR="00AA09F4" w:rsidRPr="00343146" w:rsidRDefault="00A8605B" w:rsidP="00A8605B">
            <w:pPr>
              <w:rPr>
                <w:b w:val="0"/>
                <w:bCs/>
                <w:sz w:val="18"/>
                <w:szCs w:val="18"/>
              </w:rPr>
            </w:pPr>
            <w:r w:rsidRPr="00A8605B">
              <w:rPr>
                <w:b w:val="0"/>
                <w:sz w:val="18"/>
                <w:szCs w:val="18"/>
              </w:rPr>
              <w:t>on supply, under the reverse charge procedure.</w:t>
            </w:r>
          </w:p>
        </w:tc>
      </w:tr>
      <w:tr w:rsidR="00AA09F4">
        <w:tblPrEx>
          <w:tblCellMar>
            <w:top w:w="0" w:type="dxa"/>
            <w:bottom w:w="0" w:type="dxa"/>
          </w:tblCellMar>
        </w:tblPrEx>
        <w:tc>
          <w:tcPr>
            <w:tcW w:w="720" w:type="dxa"/>
          </w:tcPr>
          <w:p w:rsidR="00AA09F4" w:rsidRPr="00343146" w:rsidRDefault="00AA09F4" w:rsidP="00836FE3">
            <w:pPr>
              <w:rPr>
                <w:sz w:val="18"/>
                <w:szCs w:val="18"/>
              </w:rPr>
            </w:pPr>
            <w:r w:rsidRPr="00343146">
              <w:rPr>
                <w:sz w:val="18"/>
                <w:szCs w:val="18"/>
              </w:rPr>
              <w:t>AAL</w:t>
            </w:r>
          </w:p>
        </w:tc>
        <w:tc>
          <w:tcPr>
            <w:tcW w:w="2414" w:type="dxa"/>
          </w:tcPr>
          <w:p w:rsidR="00AA09F4" w:rsidRPr="00343146" w:rsidRDefault="00CE08C0" w:rsidP="00836FE3">
            <w:pPr>
              <w:rPr>
                <w:sz w:val="18"/>
                <w:szCs w:val="18"/>
              </w:rPr>
            </w:pPr>
            <w:r w:rsidRPr="00CE08C0">
              <w:rPr>
                <w:sz w:val="18"/>
                <w:szCs w:val="18"/>
              </w:rPr>
              <w:t>Reverse Charge Exempt - Article 164 of Council Directive 2006/112//EC</w:t>
            </w:r>
          </w:p>
        </w:tc>
        <w:tc>
          <w:tcPr>
            <w:tcW w:w="3420" w:type="dxa"/>
          </w:tcPr>
          <w:p w:rsidR="00AA09F4" w:rsidRPr="00343146" w:rsidRDefault="00CE08C0" w:rsidP="009B3171">
            <w:pPr>
              <w:rPr>
                <w:sz w:val="18"/>
                <w:szCs w:val="18"/>
              </w:rPr>
            </w:pPr>
            <w:r w:rsidRPr="00CE08C0">
              <w:rPr>
                <w:b w:val="0"/>
                <w:bCs/>
                <w:sz w:val="18"/>
                <w:szCs w:val="18"/>
              </w:rPr>
              <w:t>Reverse charge procedure when goods cease to be covered by warehousing arrangements.</w:t>
            </w:r>
          </w:p>
        </w:tc>
        <w:tc>
          <w:tcPr>
            <w:tcW w:w="7200" w:type="dxa"/>
          </w:tcPr>
          <w:p w:rsidR="00CE08C0" w:rsidRPr="00CE08C0" w:rsidRDefault="00CE08C0" w:rsidP="00CE08C0">
            <w:pPr>
              <w:rPr>
                <w:b w:val="0"/>
                <w:sz w:val="18"/>
                <w:szCs w:val="18"/>
              </w:rPr>
            </w:pPr>
            <w:r w:rsidRPr="00CE08C0">
              <w:rPr>
                <w:sz w:val="18"/>
                <w:szCs w:val="18"/>
              </w:rPr>
              <w:t xml:space="preserve">To be used </w:t>
            </w:r>
            <w:r w:rsidRPr="00CE08C0">
              <w:rPr>
                <w:b w:val="0"/>
                <w:sz w:val="18"/>
                <w:szCs w:val="18"/>
              </w:rPr>
              <w:t>when invoicing goods from a non-EC country which have been held in an approved warehouse and should be removed for consumption in an EC country (i.e. not re-exported as in AAB).</w:t>
            </w:r>
          </w:p>
          <w:p w:rsidR="00AA09F4" w:rsidRPr="00343146" w:rsidRDefault="00CE08C0" w:rsidP="00CE08C0">
            <w:pPr>
              <w:rPr>
                <w:b w:val="0"/>
                <w:bCs/>
                <w:sz w:val="18"/>
                <w:szCs w:val="18"/>
              </w:rPr>
            </w:pPr>
            <w:r w:rsidRPr="00CE08C0">
              <w:rPr>
                <w:b w:val="0"/>
                <w:sz w:val="18"/>
                <w:szCs w:val="18"/>
              </w:rPr>
              <w:t>Example: still using the example above (AAB) as a base the company in country A sells and transfers the goods to a company in country B but in this case the company in country B sells and deliver the goods to EC country C for domestic consumption.</w:t>
            </w:r>
          </w:p>
        </w:tc>
      </w:tr>
      <w:tr w:rsidR="00AA09F4">
        <w:tblPrEx>
          <w:tblCellMar>
            <w:top w:w="0" w:type="dxa"/>
            <w:bottom w:w="0" w:type="dxa"/>
          </w:tblCellMar>
        </w:tblPrEx>
        <w:tc>
          <w:tcPr>
            <w:tcW w:w="720" w:type="dxa"/>
          </w:tcPr>
          <w:p w:rsidR="00AA09F4" w:rsidRPr="00343146" w:rsidRDefault="00AA09F4" w:rsidP="00836FE3">
            <w:pPr>
              <w:rPr>
                <w:sz w:val="18"/>
                <w:szCs w:val="18"/>
              </w:rPr>
            </w:pPr>
            <w:r w:rsidRPr="00343146">
              <w:rPr>
                <w:sz w:val="18"/>
                <w:szCs w:val="18"/>
              </w:rPr>
              <w:t>AAM</w:t>
            </w:r>
          </w:p>
        </w:tc>
        <w:tc>
          <w:tcPr>
            <w:tcW w:w="2414" w:type="dxa"/>
          </w:tcPr>
          <w:p w:rsidR="00AA09F4" w:rsidRPr="00343146" w:rsidRDefault="00CE08C0" w:rsidP="00836FE3">
            <w:pPr>
              <w:rPr>
                <w:sz w:val="18"/>
                <w:szCs w:val="18"/>
              </w:rPr>
            </w:pPr>
            <w:r w:rsidRPr="00CE08C0">
              <w:rPr>
                <w:sz w:val="18"/>
                <w:szCs w:val="18"/>
              </w:rPr>
              <w:t>Exempt New Means of Transport – Article 2, 3 and 4 of Council Directive 2006/112//EC</w:t>
            </w:r>
          </w:p>
        </w:tc>
        <w:tc>
          <w:tcPr>
            <w:tcW w:w="3420" w:type="dxa"/>
          </w:tcPr>
          <w:p w:rsidR="00AA09F4" w:rsidRPr="00343146" w:rsidRDefault="00CE08C0" w:rsidP="009B3171">
            <w:pPr>
              <w:rPr>
                <w:sz w:val="18"/>
                <w:szCs w:val="18"/>
              </w:rPr>
            </w:pPr>
            <w:r w:rsidRPr="00CE08C0">
              <w:rPr>
                <w:b w:val="0"/>
                <w:bCs/>
                <w:sz w:val="18"/>
                <w:szCs w:val="18"/>
              </w:rPr>
              <w:t>Intra-Community supply of a new means of transport.</w:t>
            </w:r>
          </w:p>
        </w:tc>
        <w:tc>
          <w:tcPr>
            <w:tcW w:w="7200" w:type="dxa"/>
          </w:tcPr>
          <w:p w:rsidR="00AA09F4" w:rsidRPr="00343146" w:rsidRDefault="00CE08C0" w:rsidP="009B3171">
            <w:pPr>
              <w:rPr>
                <w:b w:val="0"/>
                <w:bCs/>
                <w:sz w:val="18"/>
                <w:szCs w:val="18"/>
              </w:rPr>
            </w:pPr>
            <w:r w:rsidRPr="00CE08C0">
              <w:rPr>
                <w:sz w:val="18"/>
                <w:szCs w:val="18"/>
              </w:rPr>
              <w:t xml:space="preserve">To be used </w:t>
            </w:r>
            <w:r w:rsidRPr="00CE08C0">
              <w:rPr>
                <w:b w:val="0"/>
                <w:sz w:val="18"/>
                <w:szCs w:val="18"/>
              </w:rPr>
              <w:t>when invoicing a supply of new means of transport to a customer in another EC country.</w:t>
            </w:r>
          </w:p>
        </w:tc>
      </w:tr>
      <w:tr w:rsidR="00AA09F4">
        <w:tblPrEx>
          <w:tblCellMar>
            <w:top w:w="0" w:type="dxa"/>
            <w:bottom w:w="0" w:type="dxa"/>
          </w:tblCellMar>
        </w:tblPrEx>
        <w:tc>
          <w:tcPr>
            <w:tcW w:w="720" w:type="dxa"/>
          </w:tcPr>
          <w:p w:rsidR="00AA09F4" w:rsidRPr="00343146" w:rsidRDefault="00AA09F4" w:rsidP="00836FE3">
            <w:pPr>
              <w:rPr>
                <w:sz w:val="18"/>
                <w:szCs w:val="18"/>
              </w:rPr>
            </w:pPr>
            <w:r w:rsidRPr="00343146">
              <w:rPr>
                <w:sz w:val="18"/>
                <w:szCs w:val="18"/>
              </w:rPr>
              <w:t>AAN</w:t>
            </w:r>
          </w:p>
        </w:tc>
        <w:tc>
          <w:tcPr>
            <w:tcW w:w="2414" w:type="dxa"/>
          </w:tcPr>
          <w:p w:rsidR="00AA09F4" w:rsidRPr="00343146" w:rsidRDefault="00CE08C0" w:rsidP="00836FE3">
            <w:pPr>
              <w:rPr>
                <w:sz w:val="18"/>
                <w:szCs w:val="18"/>
              </w:rPr>
            </w:pPr>
            <w:r w:rsidRPr="00CE08C0">
              <w:rPr>
                <w:sz w:val="18"/>
                <w:szCs w:val="18"/>
              </w:rPr>
              <w:t>Exempt Triangulation – Article 141 of Council Directive 2006/112//EC</w:t>
            </w:r>
          </w:p>
        </w:tc>
        <w:tc>
          <w:tcPr>
            <w:tcW w:w="3420" w:type="dxa"/>
          </w:tcPr>
          <w:p w:rsidR="00AA09F4" w:rsidRPr="00343146" w:rsidRDefault="00AA09F4" w:rsidP="009B3171">
            <w:pPr>
              <w:rPr>
                <w:b w:val="0"/>
                <w:bCs/>
                <w:sz w:val="18"/>
                <w:szCs w:val="18"/>
              </w:rPr>
            </w:pPr>
            <w:r w:rsidRPr="00343146">
              <w:rPr>
                <w:b w:val="0"/>
                <w:bCs/>
                <w:sz w:val="18"/>
                <w:szCs w:val="18"/>
              </w:rPr>
              <w:t>Triangulation</w:t>
            </w:r>
          </w:p>
          <w:p w:rsidR="00AA09F4" w:rsidRPr="00343146" w:rsidRDefault="00AA09F4" w:rsidP="009B3171">
            <w:pPr>
              <w:rPr>
                <w:sz w:val="18"/>
                <w:szCs w:val="18"/>
              </w:rPr>
            </w:pPr>
          </w:p>
        </w:tc>
        <w:tc>
          <w:tcPr>
            <w:tcW w:w="7200" w:type="dxa"/>
          </w:tcPr>
          <w:p w:rsidR="00AA09F4" w:rsidRPr="00343146" w:rsidRDefault="00CE08C0" w:rsidP="009B3171">
            <w:pPr>
              <w:rPr>
                <w:b w:val="0"/>
                <w:bCs/>
                <w:sz w:val="18"/>
                <w:szCs w:val="18"/>
              </w:rPr>
            </w:pPr>
            <w:r w:rsidRPr="00CE08C0">
              <w:rPr>
                <w:sz w:val="18"/>
                <w:szCs w:val="18"/>
              </w:rPr>
              <w:t xml:space="preserve">To be used </w:t>
            </w:r>
            <w:r w:rsidRPr="00CE08C0">
              <w:rPr>
                <w:b w:val="0"/>
                <w:sz w:val="18"/>
                <w:szCs w:val="18"/>
              </w:rPr>
              <w:t>when invoicing by a company who is the middleman in a triangulation chain i.e. goods trade between three parties in different EC countries and the goods delivered from the first part to the last part.</w:t>
            </w:r>
          </w:p>
        </w:tc>
      </w:tr>
      <w:tr w:rsidR="00AA09F4">
        <w:tblPrEx>
          <w:tblCellMar>
            <w:top w:w="0" w:type="dxa"/>
            <w:bottom w:w="0" w:type="dxa"/>
          </w:tblCellMar>
        </w:tblPrEx>
        <w:tc>
          <w:tcPr>
            <w:tcW w:w="720" w:type="dxa"/>
          </w:tcPr>
          <w:p w:rsidR="00AA09F4" w:rsidRPr="00343146" w:rsidRDefault="00CE08C0" w:rsidP="00836FE3">
            <w:pPr>
              <w:rPr>
                <w:sz w:val="18"/>
                <w:szCs w:val="18"/>
              </w:rPr>
            </w:pPr>
            <w:r>
              <w:rPr>
                <w:sz w:val="18"/>
                <w:szCs w:val="18"/>
              </w:rPr>
              <w:t>AAP</w:t>
            </w:r>
          </w:p>
        </w:tc>
        <w:tc>
          <w:tcPr>
            <w:tcW w:w="2414" w:type="dxa"/>
          </w:tcPr>
          <w:p w:rsidR="00AA09F4" w:rsidRPr="00343146" w:rsidRDefault="00CE08C0" w:rsidP="00836FE3">
            <w:pPr>
              <w:rPr>
                <w:sz w:val="18"/>
                <w:szCs w:val="18"/>
              </w:rPr>
            </w:pPr>
            <w:r w:rsidRPr="00CE08C0">
              <w:rPr>
                <w:sz w:val="18"/>
                <w:szCs w:val="18"/>
              </w:rPr>
              <w:t>VAT exempt/reverse charge, within the construction business, Article 199 1 a-b of Council Directive 2006/112//EC</w:t>
            </w:r>
          </w:p>
        </w:tc>
        <w:tc>
          <w:tcPr>
            <w:tcW w:w="3420" w:type="dxa"/>
          </w:tcPr>
          <w:p w:rsidR="00AA09F4" w:rsidRPr="00343146" w:rsidRDefault="00CE08C0" w:rsidP="009B3171">
            <w:pPr>
              <w:rPr>
                <w:sz w:val="18"/>
                <w:szCs w:val="18"/>
              </w:rPr>
            </w:pPr>
            <w:r w:rsidRPr="00CE08C0">
              <w:rPr>
                <w:b w:val="0"/>
                <w:bCs/>
                <w:sz w:val="18"/>
                <w:szCs w:val="18"/>
              </w:rPr>
              <w:t>Reverse charge Supply of certain services within the construction businesses should be taxable by the purchaser instead of the seller.</w:t>
            </w:r>
          </w:p>
        </w:tc>
        <w:tc>
          <w:tcPr>
            <w:tcW w:w="7200" w:type="dxa"/>
          </w:tcPr>
          <w:p w:rsidR="00AA09F4" w:rsidRPr="00343146" w:rsidRDefault="00AA09F4" w:rsidP="009B3171">
            <w:pPr>
              <w:rPr>
                <w:b w:val="0"/>
                <w:bCs/>
                <w:sz w:val="18"/>
                <w:szCs w:val="18"/>
              </w:rPr>
            </w:pPr>
            <w:r w:rsidRPr="00343146">
              <w:rPr>
                <w:sz w:val="18"/>
                <w:szCs w:val="18"/>
              </w:rPr>
              <w:t xml:space="preserve">To be used </w:t>
            </w:r>
            <w:r w:rsidR="00CE08C0">
              <w:rPr>
                <w:b w:val="0"/>
                <w:bCs/>
                <w:sz w:val="18"/>
                <w:szCs w:val="18"/>
              </w:rPr>
              <w:t>t</w:t>
            </w:r>
            <w:r w:rsidR="00CE08C0" w:rsidRPr="00CE08C0">
              <w:rPr>
                <w:b w:val="0"/>
                <w:bCs/>
                <w:sz w:val="18"/>
                <w:szCs w:val="18"/>
              </w:rPr>
              <w:t>he services should concern property, building or other establishment. The services mentioned are land- and ground work, construction work, installations, construction finalize work, letting of construction machinery with driver, construction cleaning and letting of labour for these services. The purchaser should be a business which supplies the same services.</w:t>
            </w:r>
          </w:p>
        </w:tc>
      </w:tr>
      <w:tr w:rsidR="00CE08C0">
        <w:tblPrEx>
          <w:tblCellMar>
            <w:top w:w="0" w:type="dxa"/>
            <w:bottom w:w="0" w:type="dxa"/>
          </w:tblCellMar>
        </w:tblPrEx>
        <w:tc>
          <w:tcPr>
            <w:tcW w:w="720" w:type="dxa"/>
          </w:tcPr>
          <w:p w:rsidR="00CE08C0" w:rsidRDefault="00CE08C0" w:rsidP="00836FE3">
            <w:pPr>
              <w:rPr>
                <w:sz w:val="18"/>
                <w:szCs w:val="18"/>
              </w:rPr>
            </w:pPr>
            <w:r>
              <w:rPr>
                <w:sz w:val="18"/>
                <w:szCs w:val="18"/>
              </w:rPr>
              <w:t>AAQ</w:t>
            </w:r>
          </w:p>
        </w:tc>
        <w:tc>
          <w:tcPr>
            <w:tcW w:w="2414" w:type="dxa"/>
          </w:tcPr>
          <w:p w:rsidR="00CE08C0" w:rsidRPr="00CE08C0" w:rsidRDefault="00CE08C0" w:rsidP="00836FE3">
            <w:pPr>
              <w:rPr>
                <w:sz w:val="18"/>
                <w:szCs w:val="18"/>
              </w:rPr>
            </w:pPr>
            <w:r w:rsidRPr="00CE08C0">
              <w:rPr>
                <w:sz w:val="18"/>
                <w:szCs w:val="18"/>
              </w:rPr>
              <w:t>Reverse Charge – Article 194 of Council Directive 2006/112//EC</w:t>
            </w:r>
          </w:p>
        </w:tc>
        <w:tc>
          <w:tcPr>
            <w:tcW w:w="3420" w:type="dxa"/>
          </w:tcPr>
          <w:p w:rsidR="00CE08C0" w:rsidRPr="00CE08C0" w:rsidRDefault="00CE08C0" w:rsidP="009B3171">
            <w:pPr>
              <w:rPr>
                <w:b w:val="0"/>
                <w:bCs/>
                <w:sz w:val="18"/>
                <w:szCs w:val="18"/>
              </w:rPr>
            </w:pPr>
            <w:r w:rsidRPr="00CE08C0">
              <w:rPr>
                <w:b w:val="0"/>
                <w:bCs/>
                <w:sz w:val="18"/>
                <w:szCs w:val="18"/>
              </w:rPr>
              <w:t>Reverse charge procedure. Special scheme, so called domestic reverse charge, for both non VAT registered as well as for VAT registered companies within an EC country in case of domestic supply of goods and services to a VAT registered purchaser in that EC country.</w:t>
            </w:r>
          </w:p>
        </w:tc>
        <w:tc>
          <w:tcPr>
            <w:tcW w:w="7200" w:type="dxa"/>
          </w:tcPr>
          <w:p w:rsidR="00CE08C0" w:rsidRPr="00343146" w:rsidRDefault="00CE08C0" w:rsidP="009B3171">
            <w:pPr>
              <w:rPr>
                <w:sz w:val="18"/>
                <w:szCs w:val="18"/>
              </w:rPr>
            </w:pPr>
            <w:r w:rsidRPr="00CE08C0">
              <w:rPr>
                <w:sz w:val="18"/>
                <w:szCs w:val="18"/>
              </w:rPr>
              <w:t xml:space="preserve">To be used </w:t>
            </w:r>
            <w:r w:rsidRPr="00CE08C0">
              <w:rPr>
                <w:b w:val="0"/>
                <w:sz w:val="18"/>
                <w:szCs w:val="18"/>
              </w:rPr>
              <w:t>when invoicing goods and certain services, from a supplier (a foreign entity) who is not established and registered or a supplier that is VAT registered for VAT in an EC country, to a customer who is VAT registered in that EC country.</w:t>
            </w:r>
          </w:p>
        </w:tc>
      </w:tr>
    </w:tbl>
    <w:p w:rsidR="00DF70CF" w:rsidRDefault="00DF70CF" w:rsidP="00DF70CF"/>
    <w:p w:rsidR="00DF70CF" w:rsidRDefault="00DF70CF" w:rsidP="00DF70CF">
      <w:pPr>
        <w:rPr>
          <w:b w:val="0"/>
        </w:rPr>
      </w:pPr>
    </w:p>
    <w:p w:rsidR="002C46FE" w:rsidRDefault="002C46FE"/>
    <w:sectPr w:rsidR="002C46FE" w:rsidSect="003C059E">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51" w:rsidRDefault="00A12A51">
      <w:r>
        <w:separator/>
      </w:r>
    </w:p>
  </w:endnote>
  <w:endnote w:type="continuationSeparator" w:id="0">
    <w:p w:rsidR="00A12A51" w:rsidRDefault="00A1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14" w:rsidRDefault="00874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4414" w:rsidRDefault="00874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14" w:rsidRDefault="00874414">
    <w:pPr>
      <w:pStyle w:val="Footer"/>
      <w:ind w:right="360"/>
    </w:pPr>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14" w:rsidRDefault="0087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51" w:rsidRDefault="00A12A51">
      <w:r>
        <w:separator/>
      </w:r>
    </w:p>
  </w:footnote>
  <w:footnote w:type="continuationSeparator" w:id="0">
    <w:p w:rsidR="00A12A51" w:rsidRDefault="00A1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14" w:rsidRDefault="00874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14" w:rsidRDefault="00874414">
    <w:pPr>
      <w:pStyle w:val="Header"/>
      <w:rPr>
        <w:lang w:val="sv-SE"/>
      </w:rPr>
    </w:pPr>
    <w:r>
      <w:rPr>
        <w:lang w:val="sv-SE"/>
      </w:rPr>
      <w:t>Global Invoice Implementation</w:t>
    </w:r>
    <w:r>
      <w:rPr>
        <w:lang w:val="sv-SE"/>
      </w:rPr>
      <w:tab/>
      <w:t xml:space="preserve">                                                                             Guideline</w:t>
    </w:r>
    <w:r>
      <w:rPr>
        <w:lang w:val="sv-SE"/>
      </w:rPr>
      <w:tab/>
    </w:r>
    <w:r>
      <w:rPr>
        <w:lang w:val="sv-SE"/>
      </w:rPr>
      <w:tab/>
    </w:r>
    <w:r>
      <w:rPr>
        <w:lang w:val="sv-SE"/>
      </w:rPr>
      <w:tab/>
    </w:r>
    <w:r>
      <w:rPr>
        <w:lang w:val="sv-SE"/>
      </w:rPr>
      <w:tab/>
    </w:r>
    <w:r>
      <w:rPr>
        <w:lang w:val="sv-SE"/>
      </w:rPr>
      <w:tab/>
      <w:t xml:space="preserve">Page </w:t>
    </w:r>
    <w:r>
      <w:rPr>
        <w:rStyle w:val="PageNumber"/>
      </w:rPr>
      <w:fldChar w:fldCharType="begin"/>
    </w:r>
    <w:r>
      <w:rPr>
        <w:rStyle w:val="PageNumber"/>
      </w:rPr>
      <w:instrText xml:space="preserve"> PAGE </w:instrText>
    </w:r>
    <w:r>
      <w:rPr>
        <w:rStyle w:val="PageNumber"/>
      </w:rPr>
      <w:fldChar w:fldCharType="separate"/>
    </w:r>
    <w:r w:rsidR="00B9725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725A">
      <w:rPr>
        <w:rStyle w:val="PageNumber"/>
        <w:noProof/>
      </w:rPr>
      <w:t>2</w:t>
    </w:r>
    <w:r>
      <w:rPr>
        <w:rStyle w:val="PageNumber"/>
      </w:rPr>
      <w:fldChar w:fldCharType="end"/>
    </w:r>
  </w:p>
  <w:p w:rsidR="00874414" w:rsidRPr="00CB395E" w:rsidRDefault="00874414" w:rsidP="003C059E">
    <w:pPr>
      <w:pStyle w:val="Header"/>
      <w:pBdr>
        <w:bottom w:val="single" w:sz="4" w:space="1" w:color="auto"/>
      </w:pBdr>
      <w:rPr>
        <w:b w:val="0"/>
        <w:lang w:val="sv-SE"/>
      </w:rPr>
    </w:pPr>
    <w:r>
      <w:rPr>
        <w:b w:val="0"/>
        <w:lang w:val="sv-SE"/>
      </w:rPr>
      <w:tab/>
    </w:r>
    <w:r>
      <w:rPr>
        <w:b w:val="0"/>
        <w:lang w:val="sv-SE"/>
      </w:rPr>
      <w:tab/>
    </w:r>
    <w:r>
      <w:rPr>
        <w:b w:val="0"/>
        <w:lang w:val="sv-SE"/>
      </w:rPr>
      <w:tab/>
    </w:r>
    <w:r>
      <w:rPr>
        <w:b w:val="0"/>
        <w:lang w:val="sv-SE"/>
      </w:rPr>
      <w:tab/>
    </w:r>
    <w:r>
      <w:rPr>
        <w:b w:val="0"/>
        <w:lang w:val="sv-SE"/>
      </w:rPr>
      <w:tab/>
    </w:r>
    <w:r>
      <w:rPr>
        <w:b w:val="0"/>
        <w:lang w:val="sv-SE"/>
      </w:rPr>
      <w:tab/>
      <w:t>Rev 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14" w:rsidRDefault="00874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CF"/>
    <w:rsid w:val="0005606B"/>
    <w:rsid w:val="000B4757"/>
    <w:rsid w:val="000B5019"/>
    <w:rsid w:val="000D244F"/>
    <w:rsid w:val="000F1FA6"/>
    <w:rsid w:val="0014661F"/>
    <w:rsid w:val="00176B40"/>
    <w:rsid w:val="001B46AA"/>
    <w:rsid w:val="0024354C"/>
    <w:rsid w:val="002605A9"/>
    <w:rsid w:val="00260990"/>
    <w:rsid w:val="00296DDB"/>
    <w:rsid w:val="002A6119"/>
    <w:rsid w:val="002C001A"/>
    <w:rsid w:val="002C46FE"/>
    <w:rsid w:val="002D04C0"/>
    <w:rsid w:val="002D4EF1"/>
    <w:rsid w:val="002F7088"/>
    <w:rsid w:val="00305DC9"/>
    <w:rsid w:val="00311D79"/>
    <w:rsid w:val="00343146"/>
    <w:rsid w:val="003C059E"/>
    <w:rsid w:val="003E1410"/>
    <w:rsid w:val="003E4F51"/>
    <w:rsid w:val="00412938"/>
    <w:rsid w:val="004675F6"/>
    <w:rsid w:val="004D75B1"/>
    <w:rsid w:val="00507FA5"/>
    <w:rsid w:val="005311B6"/>
    <w:rsid w:val="005531C8"/>
    <w:rsid w:val="0058623D"/>
    <w:rsid w:val="005C1EF2"/>
    <w:rsid w:val="005C326B"/>
    <w:rsid w:val="006B0907"/>
    <w:rsid w:val="006D11F8"/>
    <w:rsid w:val="00723574"/>
    <w:rsid w:val="00730E63"/>
    <w:rsid w:val="00775422"/>
    <w:rsid w:val="007D40E1"/>
    <w:rsid w:val="0081084A"/>
    <w:rsid w:val="0083155B"/>
    <w:rsid w:val="00832C77"/>
    <w:rsid w:val="00836FE3"/>
    <w:rsid w:val="00843B92"/>
    <w:rsid w:val="00871FE9"/>
    <w:rsid w:val="00874414"/>
    <w:rsid w:val="00882C16"/>
    <w:rsid w:val="00891993"/>
    <w:rsid w:val="0091542C"/>
    <w:rsid w:val="009213DF"/>
    <w:rsid w:val="00942EAC"/>
    <w:rsid w:val="00964AD6"/>
    <w:rsid w:val="009709CB"/>
    <w:rsid w:val="009A0375"/>
    <w:rsid w:val="009B3171"/>
    <w:rsid w:val="00A12A51"/>
    <w:rsid w:val="00A3396F"/>
    <w:rsid w:val="00A8605B"/>
    <w:rsid w:val="00AA09F4"/>
    <w:rsid w:val="00B0429E"/>
    <w:rsid w:val="00B53A08"/>
    <w:rsid w:val="00B94A5B"/>
    <w:rsid w:val="00B9725A"/>
    <w:rsid w:val="00BE4446"/>
    <w:rsid w:val="00BF1966"/>
    <w:rsid w:val="00BF2CBB"/>
    <w:rsid w:val="00C13E33"/>
    <w:rsid w:val="00C17456"/>
    <w:rsid w:val="00C345F1"/>
    <w:rsid w:val="00C36956"/>
    <w:rsid w:val="00C531EB"/>
    <w:rsid w:val="00CA7D3D"/>
    <w:rsid w:val="00CB395E"/>
    <w:rsid w:val="00CB5033"/>
    <w:rsid w:val="00CE0598"/>
    <w:rsid w:val="00CE08C0"/>
    <w:rsid w:val="00CE10FE"/>
    <w:rsid w:val="00CE51A1"/>
    <w:rsid w:val="00CF74DE"/>
    <w:rsid w:val="00D04544"/>
    <w:rsid w:val="00D77066"/>
    <w:rsid w:val="00DC0AD9"/>
    <w:rsid w:val="00DF434F"/>
    <w:rsid w:val="00DF4C31"/>
    <w:rsid w:val="00DF70CF"/>
    <w:rsid w:val="00E10D72"/>
    <w:rsid w:val="00E12E6D"/>
    <w:rsid w:val="00E65592"/>
    <w:rsid w:val="00E87A25"/>
    <w:rsid w:val="00EC079D"/>
    <w:rsid w:val="00EC3FA6"/>
    <w:rsid w:val="00FE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EB3AF0-6ADF-46B0-B3AE-76C83AEE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0CF"/>
    <w:rPr>
      <w:b/>
      <w:lang w:val="en-GB"/>
    </w:rPr>
  </w:style>
  <w:style w:type="paragraph" w:styleId="Heading1">
    <w:name w:val="heading 1"/>
    <w:basedOn w:val="Normal"/>
    <w:next w:val="Normal"/>
    <w:qFormat/>
    <w:rsid w:val="00CB395E"/>
    <w:pPr>
      <w:keepNext/>
      <w:spacing w:before="240" w:after="60"/>
      <w:outlineLvl w:val="0"/>
    </w:pPr>
    <w:rPr>
      <w:rFonts w:ascii="Arial" w:hAnsi="Arial" w:cs="Arial"/>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F70CF"/>
    <w:pPr>
      <w:tabs>
        <w:tab w:val="center" w:pos="4536"/>
        <w:tab w:val="right" w:pos="9072"/>
      </w:tabs>
    </w:pPr>
  </w:style>
  <w:style w:type="character" w:styleId="PageNumber">
    <w:name w:val="page number"/>
    <w:basedOn w:val="DefaultParagraphFont"/>
    <w:rsid w:val="00DF70CF"/>
  </w:style>
  <w:style w:type="paragraph" w:styleId="Header">
    <w:name w:val="header"/>
    <w:basedOn w:val="Normal"/>
    <w:rsid w:val="00DF70CF"/>
    <w:pPr>
      <w:tabs>
        <w:tab w:val="center" w:pos="4536"/>
        <w:tab w:val="right" w:pos="9072"/>
      </w:tabs>
    </w:pPr>
  </w:style>
  <w:style w:type="paragraph" w:styleId="BalloonText">
    <w:name w:val="Balloon Text"/>
    <w:basedOn w:val="Normal"/>
    <w:semiHidden/>
    <w:rsid w:val="003C059E"/>
    <w:rPr>
      <w:rFonts w:ascii="Tahoma" w:hAnsi="Tahoma" w:cs="Tahoma"/>
      <w:sz w:val="16"/>
      <w:szCs w:val="16"/>
    </w:rPr>
  </w:style>
  <w:style w:type="paragraph" w:customStyle="1" w:styleId="Default">
    <w:name w:val="Default"/>
    <w:rsid w:val="00176B40"/>
    <w:pPr>
      <w:autoSpaceDE w:val="0"/>
      <w:autoSpaceDN w:val="0"/>
      <w:adjustRightInd w:val="0"/>
    </w:pPr>
    <w:rPr>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olvoCom Document" ma:contentTypeID="0x010100F5D22A0F54644B60B76DBD3C406B0C4300A5C1C58596AC4B6ABDE976EEF6C47E410067D056A47D020F4D86FC5BBFA63D11EB" ma:contentTypeVersion="5" ma:contentTypeDescription="Content type for documents in VolvoCom" ma:contentTypeScope="" ma:versionID="93ff7dc775a17d72d6b00a382d64b156">
  <xsd:schema xmlns:xsd="http://www.w3.org/2001/XMLSchema" xmlns:p="http://schemas.microsoft.com/office/2006/metadata/properties" xmlns:ns1="http://schemas.microsoft.com/sharepoint/v3" targetNamespace="http://schemas.microsoft.com/office/2006/metadata/properties" ma:root="true" ma:fieldsID="825efe7e3c91a52cc59a1692ac07c93f" ns1:_="">
    <xsd:import namespace="http://schemas.microsoft.com/sharepoint/v3"/>
    <xsd:element name="properties">
      <xsd:complexType>
        <xsd:sequence>
          <xsd:element name="documentManagement">
            <xsd:complexType>
              <xsd:all>
                <xsd:element ref="ns1:LinkDisplayText" minOccurs="0"/>
                <xsd:element ref="ns1:Description" minOccurs="0"/>
                <xsd:element ref="ns1:DocumentLanguage"/>
                <xsd:element ref="ns1:Classification"/>
                <xsd:element ref="ns1:ReferenceNumber" minOccurs="0"/>
                <xsd:element ref="ns1:PublishFrom"/>
                <xsd:element ref="ns1:PublishTo" minOccurs="0"/>
                <xsd:element ref="ns1:ValidFrom"/>
                <xsd:element ref="ns1:ValidTo" minOccurs="0"/>
                <xsd:element ref="ns1:AllowOverwriteProperties" minOccurs="0"/>
                <xsd:element ref="ns1:AttachedToPages" minOccurs="0"/>
                <xsd:element ref="ns1:TargetApplication" minOccurs="0"/>
                <xsd:element ref="ns1:Owner"/>
                <xsd:element ref="ns1:DocumentInformationType" minOccurs="0"/>
                <xsd:element ref="ns1:CWPID" minOccurs="0"/>
                <xsd:element ref="ns1:REXKWANDOBADCWPIDFIELD9b3dfdc7-6d79-43b7-84f5-65b3b0d88943"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inkDisplayText" ma:index="8" nillable="true" ma:displayName="Link Display Text" ma:description="Text to display as link" ma:internalName="LinkDisplayText">
      <xsd:simpleType>
        <xsd:restriction base="dms:Text"/>
      </xsd:simpleType>
    </xsd:element>
    <xsd:element name="Description" ma:index="9" nillable="true" ma:displayName="Description" ma:description="Description" ma:internalName="Description">
      <xsd:simpleType>
        <xsd:restriction base="dms:Note"/>
      </xsd:simpleType>
    </xsd:element>
    <xsd:element name="DocumentLanguage" ma:index="10" ma:displayName="DocumentLanguage" ma:default="English" ma:description="Language of the document" ma:internalName="DocumentLanguage">
      <xsd:simpleType>
        <xsd:restriction base="dms:Choice">
          <xsd:enumeration value="Arabic"/>
          <xsd:enumeration value="Chinese"/>
          <xsd:enumeration value="Danish"/>
          <xsd:enumeration value="Dutch"/>
          <xsd:enumeration value="English"/>
          <xsd:enumeration value="Farsi"/>
          <xsd:enumeration value="Finnish"/>
          <xsd:enumeration value="Flemish"/>
          <xsd:enumeration value="French"/>
          <xsd:enumeration value="German"/>
          <xsd:enumeration value="Italian"/>
          <xsd:enumeration value="Japanese"/>
          <xsd:enumeration value="Korean"/>
          <xsd:enumeration value="Norwegian"/>
          <xsd:enumeration value="Polish"/>
          <xsd:enumeration value="Portuguese"/>
          <xsd:enumeration value="Russian"/>
          <xsd:enumeration value="Spanish"/>
          <xsd:enumeration value="Swedish"/>
          <xsd:enumeration value="Turkish"/>
        </xsd:restriction>
      </xsd:simpleType>
    </xsd:element>
    <xsd:element name="Classification" ma:index="11" ma:displayName="Classification" ma:default="Internal" ma:description="Classification of the document" ma:internalName="Classification">
      <xsd:simpleType>
        <xsd:restriction base="dms:Choice">
          <xsd:enumeration value="Internal"/>
          <xsd:enumeration value="Open"/>
        </xsd:restriction>
      </xsd:simpleType>
    </xsd:element>
    <xsd:element name="ReferenceNumber" ma:index="12" nillable="true" ma:displayName="ReferenceNumber" ma:description="Document reference number" ma:internalName="ReferenceNumber">
      <xsd:simpleType>
        <xsd:restriction base="dms:Text"/>
      </xsd:simpleType>
    </xsd:element>
    <xsd:element name="PublishFrom" ma:index="13" ma:displayName="PublishFrom" ma:default="[today]" ma:description="Date to begin publishing" ma:internalName="PublishFrom">
      <xsd:simpleType>
        <xsd:restriction base="dms:DateTime"/>
      </xsd:simpleType>
    </xsd:element>
    <xsd:element name="PublishTo" ma:index="14" nillable="true" ma:displayName="PublishTo" ma:description="Date to end publishing" ma:internalName="PublishTo">
      <xsd:simpleType>
        <xsd:restriction base="dms:DateTime"/>
      </xsd:simpleType>
    </xsd:element>
    <xsd:element name="ValidFrom" ma:index="15" ma:displayName="ValidFrom" ma:default="[today]" ma:description="Date after which the document is valid" ma:internalName="ValidFrom">
      <xsd:simpleType>
        <xsd:restriction base="dms:DateTime"/>
      </xsd:simpleType>
    </xsd:element>
    <xsd:element name="ValidTo" ma:index="16" nillable="true" ma:displayName="ValidTo" ma:description="Date until which the document is valid" ma:internalName="ValidTo">
      <xsd:simpleType>
        <xsd:restriction base="dms:DateTime"/>
      </xsd:simpleType>
    </xsd:element>
    <xsd:element name="AllowOverwriteProperties" ma:index="17" nillable="true" ma:displayName="AllowOverwriteProperties" ma:description="Replace previously saved properties with these new properties." ma:internalName="AllowOverwriteProperties">
      <xsd:simpleType>
        <xsd:restriction base="dms:Boolean"/>
      </xsd:simpleType>
    </xsd:element>
    <xsd:element name="AttachedToPages" ma:index="18" nillable="true" ma:displayName="AttachedToPages" ma:description="Pages to which the document is attached" ma:hidden="true" ma:internalName="AttachedToPages">
      <xsd:simpleType>
        <xsd:restriction base="dms:Unknown"/>
      </xsd:simpleType>
    </xsd:element>
    <xsd:element name="TargetApplication" ma:index="19" nillable="true" ma:displayName="Target Application" ma:default="Internet/Public" ma:description="Select if you wish to associate a document with a page in the application of choice" ma:internalName="TargetApplication" ma:requiredMultiChoice="true">
      <xsd:complexType>
        <xsd:complexContent>
          <xsd:extension base="dms:MultiChoice">
            <xsd:sequence>
              <xsd:element name="Value" maxOccurs="unbounded" minOccurs="0" nillable="true">
                <xsd:simpleType>
                  <xsd:restriction base="dms:Choice">
                    <xsd:enumeration value="Intranet/Violin"/>
                    <xsd:enumeration value="Extended Intranet"/>
                    <xsd:enumeration value="Extranet"/>
                    <xsd:enumeration value="Internet/Public"/>
                  </xsd:restriction>
                </xsd:simpleType>
              </xsd:element>
            </xsd:sequence>
          </xsd:extension>
        </xsd:complexContent>
      </xsd:complexType>
    </xsd:element>
    <xsd:element name="Owner" ma:index="20" ma:displayName="Owner" ma:description="Owner of document" ma:internalName="Owner">
      <xsd:simpleType>
        <xsd:restriction base="dms:Text"/>
      </xsd:simpleType>
    </xsd:element>
    <xsd:element name="DocumentInformationType" ma:index="21" nillable="true" ma:displayName="DocumentInformationType" ma:description="The information type of the document" ma:internalName="DocumentInformationType" ma:requiredMultiChoice="true">
      <xsd:complexType>
        <xsd:complexContent>
          <xsd:extension base="dms:MultiChoice">
            <xsd:sequence>
              <xsd:element name="Value" maxOccurs="unbounded" minOccurs="0" nillable="true">
                <xsd:simpleType>
                  <xsd:restriction base="dms:Choice">
                    <xsd:enumeration value="Applications &amp; tools"/>
                    <xsd:enumeration value="Company presentations &amp; support materials"/>
                    <xsd:enumeration value="Events"/>
                    <xsd:enumeration value="Forms"/>
                    <xsd:enumeration value="Images, maps &amp; charts"/>
                    <xsd:enumeration value="Legal"/>
                    <xsd:enumeration value="Manuals &amp; Instructions"/>
                    <xsd:enumeration value="Minutes"/>
                    <xsd:enumeration value="News &amp; announcements"/>
                    <xsd:enumeration value="Other"/>
                    <xsd:enumeration value="Policies &amp; guidelines"/>
                    <xsd:enumeration value="Publications &amp; forums"/>
                    <xsd:enumeration value="Reports"/>
                    <xsd:enumeration value="Standards &amp; Patents"/>
                    <xsd:enumeration value="Templates"/>
                    <xsd:enumeration value="Training"/>
                    <xsd:enumeration value="Travel &amp; Expense"/>
                    <xsd:enumeration value="Video/audio"/>
                  </xsd:restriction>
                </xsd:simpleType>
              </xsd:element>
            </xsd:sequence>
          </xsd:extension>
        </xsd:complexContent>
      </xsd:complexType>
    </xsd:element>
    <xsd:element name="CWPID" ma:index="22" nillable="true" ma:displayName="CWPID" ma:description="Unique ID used by CWP to query. Please leave this field unmodified!" ma:internalName="CWPID">
      <xsd:simpleType>
        <xsd:restriction base="dms:Text"/>
      </xsd:simpleType>
    </xsd:element>
    <xsd:element name="REXKWANDOBADCWPIDFIELD9b3dfdc7-6d79-43b7-84f5-65b3b0d88943" ma:index="23" nillable="true" ma:displayName="REXKWANDOBADCWPIDFIELD9b3dfdc7-6d79-43b7-84f5-65b3b0d88943" ma:description="OLD CWPID FIELD DO NOT USE" ma:internalName="REXKWANDOBADCWPIDFIELD9b3dfdc7_x002d_6d79_x002d_43b7_x002d_84f5_x002d_65b3b0d8894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ferenceNumber xmlns="http://schemas.microsoft.com/sharepoint/v3" xsi:nil="true"/>
    <PublishTo xmlns="http://schemas.microsoft.com/sharepoint/v3" xsi:nil="true"/>
    <REXKWANDOBADCWPIDFIELD9b3dfdc7-6d79-43b7-84f5-65b3b0d88943 xmlns="http://schemas.microsoft.com/sharepoint/v3" xsi:nil="true"/>
    <ValidFrom xmlns="http://schemas.microsoft.com/sharepoint/v3">2009-10-27T00:00:00Z</ValidFrom>
    <Owner xmlns="http://schemas.microsoft.com/sharepoint/v3">v017189</Owner>
    <DocumentInformationType xmlns="http://schemas.microsoft.com/sharepoint/v3">
      <Value>Other</Value>
    </DocumentInformationType>
    <CWPID xmlns="http://schemas.microsoft.com/sharepoint/v3">996b0653-1a5c-44c8-818f-5b2f707e1b0a</CWPID>
    <DocumentLanguage xmlns="http://schemas.microsoft.com/sharepoint/v3">English</DocumentLanguage>
    <LinkDisplayText xmlns="http://schemas.microsoft.com/sharepoint/v3" xsi:nil="true"/>
    <TargetApplication xmlns="http://schemas.microsoft.com/sharepoint/v3">
      <Value>Internet/Public</Value>
    </TargetApplication>
    <Classification xmlns="http://schemas.microsoft.com/sharepoint/v3">Internal</Classification>
    <AllowOverwriteProperties xmlns="http://schemas.microsoft.com/sharepoint/v3">false</AllowOverwriteProperties>
    <PublishFrom xmlns="http://schemas.microsoft.com/sharepoint/v3">2009-10-27T00:00:00Z</PublishFrom>
    <ValidTo xmlns="http://schemas.microsoft.com/sharepoint/v3" xsi:nil="true"/>
    <Description xmlns="http://schemas.microsoft.com/sharepoint/v3" xsi:nil="true"/>
    <AttachedToPages xmlns="http://schemas.microsoft.com/sharepoint/v3" xsi:nil="true"/>
  </documentManagement>
</p:properties>
</file>

<file path=customXml/itemProps1.xml><?xml version="1.0" encoding="utf-8"?>
<ds:datastoreItem xmlns:ds="http://schemas.openxmlformats.org/officeDocument/2006/customXml" ds:itemID="{B50E9836-588B-49CF-93A9-298E7853E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D67A37-CBA9-452E-9618-9290C7B8FF3F}">
  <ds:schemaRefs>
    <ds:schemaRef ds:uri="http://schemas.microsoft.com/sharepoint/v3/contenttype/forms"/>
  </ds:schemaRefs>
</ds:datastoreItem>
</file>

<file path=customXml/itemProps3.xml><?xml version="1.0" encoding="utf-8"?>
<ds:datastoreItem xmlns:ds="http://schemas.openxmlformats.org/officeDocument/2006/customXml" ds:itemID="{062752BB-64D5-491D-BC4C-FD8E626777C0}">
  <ds:schemaRefs>
    <ds:schemaRef ds:uri="http://schemas.microsoft.com/office/2006/metadata/longProperties"/>
  </ds:schemaRefs>
</ds:datastoreItem>
</file>

<file path=customXml/itemProps4.xml><?xml version="1.0" encoding="utf-8"?>
<ds:datastoreItem xmlns:ds="http://schemas.openxmlformats.org/officeDocument/2006/customXml" ds:itemID="{12A593A9-393C-4D7A-A0AD-847FAA7F88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GuidelineforTaxExemptionReasonCodes03.doc</vt:lpstr>
    </vt:vector>
  </TitlesOfParts>
  <Company>Volvo - Office 2003 ver 2.0</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GuidelineforTaxExemptionReasonCodes03.doc</dc:title>
  <dc:subject/>
  <dc:creator>v0c5371</dc:creator>
  <cp:keywords/>
  <cp:lastModifiedBy>V Anoop</cp:lastModifiedBy>
  <cp:revision>2</cp:revision>
  <cp:lastPrinted>2005-12-01T11:27:00Z</cp:lastPrinted>
  <dcterms:created xsi:type="dcterms:W3CDTF">2020-08-05T12:54:00Z</dcterms:created>
  <dcterms:modified xsi:type="dcterms:W3CDTF">2020-08-05T12:54:00Z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of Documents">
    <vt:lpwstr>3. Published Documents</vt:lpwstr>
  </property>
  <property fmtid="{D5CDD505-2E9C-101B-9397-08002B2CF9AE}" pid="3" name="ContentType">
    <vt:lpwstr>VolvoCom Document</vt:lpwstr>
  </property>
</Properties>
</file>